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ACA" w:rsidRPr="00F34ACA" w:rsidRDefault="00F34ACA" w:rsidP="00F34ACA">
      <w:pPr>
        <w:spacing w:after="0" w:line="360" w:lineRule="auto"/>
        <w:rPr>
          <w:rFonts w:ascii="Times New Roman" w:eastAsia="Times New Roman" w:hAnsi="Times New Roman" w:cs="Times New Roman"/>
          <w:b/>
          <w:sz w:val="24"/>
          <w:szCs w:val="24"/>
          <w:lang w:eastAsia="el-GR"/>
        </w:rPr>
      </w:pPr>
      <w:r w:rsidRPr="00F34ACA">
        <w:rPr>
          <w:rFonts w:ascii="Times New Roman" w:eastAsia="Times New Roman" w:hAnsi="Times New Roman" w:cs="Times New Roman"/>
          <w:b/>
          <w:sz w:val="24"/>
          <w:szCs w:val="24"/>
          <w:lang w:eastAsia="el-GR"/>
        </w:rPr>
        <w:t>Τμήμα Μουσικών Σπουδών</w:t>
      </w:r>
    </w:p>
    <w:p w:rsidR="00F34ACA" w:rsidRPr="00F34ACA" w:rsidRDefault="00F34ACA" w:rsidP="00F34ACA">
      <w:pPr>
        <w:spacing w:after="0" w:line="360" w:lineRule="auto"/>
        <w:rPr>
          <w:rFonts w:ascii="Times New Roman" w:eastAsia="Times New Roman" w:hAnsi="Times New Roman" w:cs="Times New Roman"/>
          <w:sz w:val="24"/>
          <w:szCs w:val="24"/>
          <w:lang w:eastAsia="el-GR"/>
        </w:rPr>
      </w:pPr>
      <w:r w:rsidRPr="00F34ACA">
        <w:rPr>
          <w:rFonts w:ascii="Times New Roman" w:eastAsia="Times New Roman" w:hAnsi="Times New Roman" w:cs="Times New Roman"/>
          <w:b/>
          <w:sz w:val="24"/>
          <w:szCs w:val="24"/>
          <w:lang w:eastAsia="el-GR"/>
        </w:rPr>
        <w:t xml:space="preserve">Κατατακτήριες εξετάσεις 2022 </w:t>
      </w:r>
    </w:p>
    <w:p w:rsidR="00F34ACA" w:rsidRPr="00F34ACA" w:rsidRDefault="00F34ACA" w:rsidP="00F34ACA">
      <w:pPr>
        <w:spacing w:after="0" w:line="360" w:lineRule="auto"/>
        <w:rPr>
          <w:rFonts w:ascii="Times New Roman" w:eastAsia="Times New Roman" w:hAnsi="Times New Roman" w:cs="Times New Roman"/>
          <w:sz w:val="24"/>
          <w:szCs w:val="24"/>
          <w:lang w:eastAsia="el-GR"/>
        </w:rPr>
      </w:pPr>
    </w:p>
    <w:p w:rsidR="00F34ACA" w:rsidRPr="00F34ACA" w:rsidRDefault="00F34ACA" w:rsidP="00F34ACA">
      <w:pPr>
        <w:spacing w:after="0" w:line="360" w:lineRule="auto"/>
        <w:rPr>
          <w:rFonts w:ascii="Times New Roman" w:eastAsia="Times New Roman" w:hAnsi="Times New Roman" w:cs="Times New Roman"/>
          <w:sz w:val="24"/>
          <w:szCs w:val="24"/>
          <w:lang w:eastAsia="el-GR"/>
        </w:rPr>
      </w:pPr>
      <w:r w:rsidRPr="00F34ACA">
        <w:rPr>
          <w:rFonts w:ascii="Times New Roman" w:eastAsia="Times New Roman" w:hAnsi="Times New Roman" w:cs="Times New Roman"/>
          <w:sz w:val="24"/>
          <w:szCs w:val="24"/>
          <w:lang w:eastAsia="el-GR"/>
        </w:rPr>
        <w:t xml:space="preserve">Οι κάτωθι υπογράφοντες, </w:t>
      </w:r>
    </w:p>
    <w:p w:rsidR="00F34ACA" w:rsidRPr="00F34ACA" w:rsidRDefault="00F34ACA" w:rsidP="00F34ACA">
      <w:pPr>
        <w:spacing w:after="0" w:line="360" w:lineRule="auto"/>
        <w:rPr>
          <w:rFonts w:ascii="Times New Roman" w:eastAsia="Times New Roman" w:hAnsi="Times New Roman" w:cs="Times New Roman"/>
          <w:sz w:val="24"/>
          <w:szCs w:val="24"/>
          <w:lang w:eastAsia="el-GR"/>
        </w:rPr>
      </w:pPr>
      <w:r w:rsidRPr="00F34ACA">
        <w:rPr>
          <w:rFonts w:ascii="Times New Roman" w:eastAsia="Times New Roman" w:hAnsi="Times New Roman" w:cs="Times New Roman"/>
          <w:sz w:val="24"/>
          <w:szCs w:val="24"/>
          <w:lang w:eastAsia="el-GR"/>
        </w:rPr>
        <w:t>Αναστασία Γεωργάκη (Καθηγήτρια, Πρόεδρος του Τ.Μ.Σ.),</w:t>
      </w:r>
    </w:p>
    <w:p w:rsidR="00F34ACA" w:rsidRPr="00F34ACA" w:rsidRDefault="00F34ACA" w:rsidP="00F34ACA">
      <w:pPr>
        <w:spacing w:after="0" w:line="360" w:lineRule="auto"/>
        <w:rPr>
          <w:rFonts w:ascii="Times New Roman" w:eastAsia="Times New Roman" w:hAnsi="Times New Roman" w:cs="Times New Roman"/>
          <w:sz w:val="24"/>
          <w:szCs w:val="24"/>
          <w:lang w:eastAsia="el-GR"/>
        </w:rPr>
      </w:pPr>
      <w:r w:rsidRPr="00F34ACA">
        <w:rPr>
          <w:rFonts w:ascii="Times New Roman" w:eastAsia="Times New Roman" w:hAnsi="Times New Roman" w:cs="Times New Roman"/>
          <w:sz w:val="24"/>
          <w:szCs w:val="24"/>
          <w:lang w:eastAsia="el-GR"/>
        </w:rPr>
        <w:t xml:space="preserve">Νικόλαος </w:t>
      </w:r>
      <w:proofErr w:type="spellStart"/>
      <w:r w:rsidRPr="00F34ACA">
        <w:rPr>
          <w:rFonts w:ascii="Times New Roman" w:eastAsia="Times New Roman" w:hAnsi="Times New Roman" w:cs="Times New Roman"/>
          <w:sz w:val="24"/>
          <w:szCs w:val="24"/>
          <w:lang w:eastAsia="el-GR"/>
        </w:rPr>
        <w:t>Μαλιάρας</w:t>
      </w:r>
      <w:proofErr w:type="spellEnd"/>
      <w:r w:rsidRPr="00F34ACA">
        <w:rPr>
          <w:rFonts w:ascii="Times New Roman" w:eastAsia="Times New Roman" w:hAnsi="Times New Roman" w:cs="Times New Roman"/>
          <w:sz w:val="24"/>
          <w:szCs w:val="24"/>
          <w:lang w:eastAsia="el-GR"/>
        </w:rPr>
        <w:t xml:space="preserve"> (Καθηγητής), </w:t>
      </w:r>
    </w:p>
    <w:p w:rsidR="00F34ACA" w:rsidRPr="00F34ACA" w:rsidRDefault="00F34ACA" w:rsidP="00F34ACA">
      <w:pPr>
        <w:spacing w:after="0" w:line="360" w:lineRule="auto"/>
        <w:rPr>
          <w:rFonts w:ascii="Times New Roman" w:eastAsia="Times New Roman" w:hAnsi="Times New Roman" w:cs="Times New Roman"/>
          <w:sz w:val="24"/>
          <w:szCs w:val="24"/>
          <w:lang w:eastAsia="el-GR"/>
        </w:rPr>
      </w:pPr>
      <w:r w:rsidRPr="00F34ACA">
        <w:rPr>
          <w:rFonts w:ascii="Times New Roman" w:eastAsia="Times New Roman" w:hAnsi="Times New Roman" w:cs="Times New Roman"/>
          <w:sz w:val="24"/>
          <w:szCs w:val="24"/>
          <w:lang w:eastAsia="el-GR"/>
        </w:rPr>
        <w:t xml:space="preserve">Πύρρος </w:t>
      </w:r>
      <w:proofErr w:type="spellStart"/>
      <w:r w:rsidRPr="00F34ACA">
        <w:rPr>
          <w:rFonts w:ascii="Times New Roman" w:eastAsia="Times New Roman" w:hAnsi="Times New Roman" w:cs="Times New Roman"/>
          <w:sz w:val="24"/>
          <w:szCs w:val="24"/>
          <w:lang w:eastAsia="el-GR"/>
        </w:rPr>
        <w:t>Μπαμίχας</w:t>
      </w:r>
      <w:proofErr w:type="spellEnd"/>
      <w:r w:rsidRPr="00F34ACA">
        <w:rPr>
          <w:rFonts w:ascii="Times New Roman" w:eastAsia="Times New Roman" w:hAnsi="Times New Roman" w:cs="Times New Roman"/>
          <w:sz w:val="24"/>
          <w:szCs w:val="24"/>
          <w:lang w:eastAsia="el-GR"/>
        </w:rPr>
        <w:t xml:space="preserve"> (</w:t>
      </w:r>
      <w:bookmarkStart w:id="0" w:name="_GoBack"/>
      <w:bookmarkEnd w:id="0"/>
      <w:r w:rsidRPr="00F34ACA">
        <w:rPr>
          <w:rFonts w:ascii="Times New Roman" w:eastAsia="Times New Roman" w:hAnsi="Times New Roman" w:cs="Times New Roman"/>
          <w:sz w:val="24"/>
          <w:szCs w:val="24"/>
          <w:lang w:eastAsia="el-GR"/>
        </w:rPr>
        <w:t xml:space="preserve">Καθηγητής), </w:t>
      </w:r>
    </w:p>
    <w:p w:rsidR="00F34ACA" w:rsidRPr="00F34ACA" w:rsidRDefault="00F34ACA" w:rsidP="00F34ACA">
      <w:pPr>
        <w:spacing w:after="0" w:line="360" w:lineRule="auto"/>
        <w:rPr>
          <w:rFonts w:ascii="Times New Roman" w:eastAsia="Times New Roman" w:hAnsi="Times New Roman" w:cs="Times New Roman"/>
          <w:sz w:val="24"/>
          <w:szCs w:val="24"/>
          <w:lang w:eastAsia="el-GR"/>
        </w:rPr>
      </w:pPr>
      <w:r w:rsidRPr="00F34ACA">
        <w:rPr>
          <w:rFonts w:ascii="Times New Roman" w:eastAsia="Times New Roman" w:hAnsi="Times New Roman" w:cs="Times New Roman"/>
          <w:sz w:val="24"/>
          <w:szCs w:val="24"/>
          <w:lang w:eastAsia="el-GR"/>
        </w:rPr>
        <w:t xml:space="preserve">Παύλος Σεργίου (Αναπληρωτής Καθηγητής), </w:t>
      </w:r>
    </w:p>
    <w:p w:rsidR="00F34ACA" w:rsidRPr="00F34ACA" w:rsidRDefault="00F34ACA" w:rsidP="00F34ACA">
      <w:pPr>
        <w:spacing w:after="0" w:line="360" w:lineRule="auto"/>
        <w:rPr>
          <w:rFonts w:ascii="Times New Roman" w:eastAsia="Times New Roman" w:hAnsi="Times New Roman" w:cs="Times New Roman"/>
          <w:sz w:val="24"/>
          <w:szCs w:val="24"/>
          <w:lang w:eastAsia="el-GR"/>
        </w:rPr>
      </w:pPr>
      <w:r w:rsidRPr="00F34ACA">
        <w:rPr>
          <w:rFonts w:ascii="Times New Roman" w:eastAsia="Times New Roman" w:hAnsi="Times New Roman" w:cs="Times New Roman"/>
          <w:sz w:val="24"/>
          <w:szCs w:val="24"/>
          <w:lang w:eastAsia="el-GR"/>
        </w:rPr>
        <w:t xml:space="preserve">Ιωάννης </w:t>
      </w:r>
      <w:proofErr w:type="spellStart"/>
      <w:r w:rsidRPr="00F34ACA">
        <w:rPr>
          <w:rFonts w:ascii="Times New Roman" w:eastAsia="Times New Roman" w:hAnsi="Times New Roman" w:cs="Times New Roman"/>
          <w:sz w:val="24"/>
          <w:szCs w:val="24"/>
          <w:lang w:eastAsia="el-GR"/>
        </w:rPr>
        <w:t>Φούλιας</w:t>
      </w:r>
      <w:proofErr w:type="spellEnd"/>
      <w:r w:rsidRPr="00F34ACA">
        <w:rPr>
          <w:rFonts w:ascii="Times New Roman" w:eastAsia="Times New Roman" w:hAnsi="Times New Roman" w:cs="Times New Roman"/>
          <w:sz w:val="24"/>
          <w:szCs w:val="24"/>
          <w:lang w:eastAsia="el-GR"/>
        </w:rPr>
        <w:t xml:space="preserve"> (</w:t>
      </w:r>
      <w:proofErr w:type="spellStart"/>
      <w:r w:rsidRPr="00F34ACA">
        <w:rPr>
          <w:rFonts w:ascii="Times New Roman" w:eastAsia="Times New Roman" w:hAnsi="Times New Roman" w:cs="Times New Roman"/>
          <w:sz w:val="24"/>
          <w:szCs w:val="24"/>
          <w:lang w:eastAsia="el-GR"/>
        </w:rPr>
        <w:t>Αναπληρωτης</w:t>
      </w:r>
      <w:proofErr w:type="spellEnd"/>
      <w:r w:rsidRPr="00F34ACA">
        <w:rPr>
          <w:rFonts w:ascii="Times New Roman" w:eastAsia="Times New Roman" w:hAnsi="Times New Roman" w:cs="Times New Roman"/>
          <w:sz w:val="24"/>
          <w:szCs w:val="24"/>
          <w:lang w:eastAsia="el-GR"/>
        </w:rPr>
        <w:t xml:space="preserve"> Καθηγητής),</w:t>
      </w:r>
    </w:p>
    <w:p w:rsidR="00F34ACA" w:rsidRPr="00F34ACA" w:rsidRDefault="00F34ACA" w:rsidP="00F34ACA">
      <w:pPr>
        <w:spacing w:after="0" w:line="360" w:lineRule="auto"/>
        <w:rPr>
          <w:rFonts w:ascii="Times New Roman" w:eastAsia="Times New Roman" w:hAnsi="Times New Roman" w:cs="Times New Roman"/>
          <w:sz w:val="24"/>
          <w:szCs w:val="24"/>
          <w:lang w:eastAsia="el-GR"/>
        </w:rPr>
      </w:pPr>
      <w:r w:rsidRPr="00F34ACA">
        <w:rPr>
          <w:rFonts w:ascii="Times New Roman" w:eastAsia="Times New Roman" w:hAnsi="Times New Roman" w:cs="Times New Roman"/>
          <w:sz w:val="24"/>
          <w:szCs w:val="24"/>
          <w:lang w:eastAsia="el-GR"/>
        </w:rPr>
        <w:t xml:space="preserve">Ιάκωβος </w:t>
      </w:r>
      <w:proofErr w:type="spellStart"/>
      <w:r w:rsidRPr="00F34ACA">
        <w:rPr>
          <w:rFonts w:ascii="Times New Roman" w:eastAsia="Times New Roman" w:hAnsi="Times New Roman" w:cs="Times New Roman"/>
          <w:sz w:val="24"/>
          <w:szCs w:val="24"/>
          <w:lang w:eastAsia="el-GR"/>
        </w:rPr>
        <w:t>Σταϊνχάουερ</w:t>
      </w:r>
      <w:proofErr w:type="spellEnd"/>
      <w:r w:rsidRPr="00F34ACA">
        <w:rPr>
          <w:rFonts w:ascii="Times New Roman" w:eastAsia="Times New Roman" w:hAnsi="Times New Roman" w:cs="Times New Roman"/>
          <w:sz w:val="24"/>
          <w:szCs w:val="24"/>
          <w:lang w:eastAsia="el-GR"/>
        </w:rPr>
        <w:t xml:space="preserve"> (Επίκουρος Καθηγητής) και</w:t>
      </w:r>
    </w:p>
    <w:p w:rsidR="00F34ACA" w:rsidRPr="00F34ACA" w:rsidRDefault="00F34ACA" w:rsidP="00F34ACA">
      <w:pPr>
        <w:spacing w:after="0" w:line="360" w:lineRule="auto"/>
        <w:rPr>
          <w:rFonts w:ascii="Times New Roman" w:eastAsia="Times New Roman" w:hAnsi="Times New Roman" w:cs="Times New Roman"/>
          <w:sz w:val="24"/>
          <w:szCs w:val="24"/>
          <w:lang w:eastAsia="el-GR"/>
        </w:rPr>
      </w:pPr>
      <w:r w:rsidRPr="00F34ACA">
        <w:rPr>
          <w:rFonts w:ascii="Times New Roman" w:eastAsia="Times New Roman" w:hAnsi="Times New Roman" w:cs="Times New Roman"/>
          <w:sz w:val="24"/>
          <w:szCs w:val="24"/>
          <w:lang w:eastAsia="el-GR"/>
        </w:rPr>
        <w:t>Στυλιανός Ψαρουδάκης (Αναπληρωτής Καθηγητής)</w:t>
      </w:r>
    </w:p>
    <w:p w:rsidR="00F34ACA" w:rsidRPr="00F34ACA" w:rsidRDefault="00F34ACA" w:rsidP="00F34ACA">
      <w:pPr>
        <w:spacing w:after="0" w:line="360" w:lineRule="auto"/>
        <w:rPr>
          <w:rFonts w:ascii="Times New Roman" w:eastAsia="Times New Roman" w:hAnsi="Times New Roman" w:cs="Times New Roman"/>
          <w:sz w:val="24"/>
          <w:szCs w:val="24"/>
          <w:lang w:eastAsia="el-GR"/>
        </w:rPr>
      </w:pPr>
    </w:p>
    <w:p w:rsidR="00F34ACA" w:rsidRPr="00F34ACA" w:rsidRDefault="00F34ACA" w:rsidP="00F34ACA">
      <w:pPr>
        <w:spacing w:after="0" w:line="360" w:lineRule="auto"/>
        <w:jc w:val="both"/>
        <w:rPr>
          <w:rFonts w:ascii="Times New Roman" w:eastAsia="Times New Roman" w:hAnsi="Times New Roman" w:cs="Times New Roman"/>
          <w:sz w:val="24"/>
          <w:szCs w:val="24"/>
          <w:lang w:eastAsia="el-GR"/>
        </w:rPr>
      </w:pPr>
      <w:r w:rsidRPr="00F34ACA">
        <w:rPr>
          <w:rFonts w:ascii="Times New Roman" w:eastAsia="Times New Roman" w:hAnsi="Times New Roman" w:cs="Times New Roman"/>
          <w:sz w:val="24"/>
          <w:szCs w:val="24"/>
          <w:lang w:eastAsia="el-GR"/>
        </w:rPr>
        <w:t>αποτελούντες την επιτροπή Κατατάξεων του Τμήματος Μουσικών Σπουδών του Πανεπιστημίου Αθηνών για τις κατατακτήριες εξετάσεις στις οποίες συμμετείχαν πτυχιούχοι Α.Ε.Ι. και Τ.Ε.Ι., συνήλθαμε σήμερα, Τετάρτη 12/1/2021, προκειμένου να προβούμε στην έκδοση αποτελεσμάτων των εξετάσεων βάσει των τροποποιήσεων του Νόμου 3404/2005, όπως αυτές ορίζονται στο ΦΕΚ 3185/16-12-2013.</w:t>
      </w:r>
      <w:r w:rsidRPr="00F34ACA">
        <w:rPr>
          <w:rFonts w:ascii="Times New Roman" w:eastAsia="Times New Roman" w:hAnsi="Times New Roman" w:cs="Times New Roman"/>
          <w:sz w:val="24"/>
          <w:szCs w:val="24"/>
          <w:lang w:eastAsia="el-GR"/>
        </w:rPr>
        <w:tab/>
      </w:r>
    </w:p>
    <w:p w:rsidR="00F34ACA" w:rsidRPr="00F34ACA" w:rsidRDefault="00F34ACA" w:rsidP="00F34ACA">
      <w:pPr>
        <w:spacing w:after="0" w:line="360" w:lineRule="auto"/>
        <w:ind w:firstLine="720"/>
        <w:jc w:val="both"/>
        <w:rPr>
          <w:rFonts w:ascii="Times New Roman" w:eastAsia="Times New Roman" w:hAnsi="Times New Roman" w:cs="Times New Roman"/>
          <w:sz w:val="24"/>
          <w:szCs w:val="24"/>
          <w:lang w:eastAsia="el-GR"/>
        </w:rPr>
      </w:pPr>
      <w:r w:rsidRPr="00F34ACA">
        <w:rPr>
          <w:rFonts w:ascii="Times New Roman" w:eastAsia="Times New Roman" w:hAnsi="Times New Roman" w:cs="Times New Roman"/>
          <w:sz w:val="24"/>
          <w:szCs w:val="24"/>
          <w:lang w:eastAsia="el-GR"/>
        </w:rPr>
        <w:t>Οι υποψήφιοι διαγωνίστηκαν την Τρίτη 14 Δεκεμβρίου στα μαθήματα «Αρμονία», «Μουσική Καταγραφή» και «Ιστορία της Μουσικής». Η Επιτροπή Κατατάξεων διαπίστωσε ότι τηρήθηκαν όλες οι προβλεπόμενες από τους νόμους διατυπώσεις και καταχώρησε τα ονοματεπώνυμα και την αναλυτική βαθμολογία των υποψηφίων κατ’ αλφαβητική σειρά, όπως φαίνεται στον σχετικό Πίνακα που επισυνάπτεται στο τέλος αυτού του υπομνήματος.</w:t>
      </w:r>
    </w:p>
    <w:p w:rsidR="00F34ACA" w:rsidRPr="00F34ACA" w:rsidRDefault="00F34ACA" w:rsidP="00F34ACA">
      <w:pPr>
        <w:spacing w:after="0" w:line="360" w:lineRule="auto"/>
        <w:ind w:firstLine="720"/>
        <w:jc w:val="both"/>
        <w:rPr>
          <w:rFonts w:ascii="Times New Roman" w:eastAsia="Times New Roman" w:hAnsi="Times New Roman" w:cs="Times New Roman"/>
          <w:sz w:val="24"/>
          <w:szCs w:val="24"/>
          <w:lang w:eastAsia="el-GR"/>
        </w:rPr>
      </w:pPr>
      <w:r w:rsidRPr="00F34ACA">
        <w:rPr>
          <w:rFonts w:ascii="Times New Roman" w:eastAsia="Times New Roman" w:hAnsi="Times New Roman" w:cs="Times New Roman"/>
          <w:sz w:val="24"/>
          <w:szCs w:val="24"/>
          <w:lang w:eastAsia="el-GR"/>
        </w:rPr>
        <w:t xml:space="preserve">Σύμφωνα με τις τροποποιήσεις που εμφανίζονται στο ΦΕΚ 3185/2013, το ποσοστό των κατατάξεων πτυχιούχων Πανεπιστημίου, Τ.Ε.Ι., ή σχολών διετούς και </w:t>
      </w:r>
      <w:proofErr w:type="spellStart"/>
      <w:r w:rsidRPr="00F34ACA">
        <w:rPr>
          <w:rFonts w:ascii="Times New Roman" w:eastAsia="Times New Roman" w:hAnsi="Times New Roman" w:cs="Times New Roman"/>
          <w:sz w:val="24"/>
          <w:szCs w:val="24"/>
          <w:lang w:eastAsia="el-GR"/>
        </w:rPr>
        <w:t>υπερδιετούς</w:t>
      </w:r>
      <w:proofErr w:type="spellEnd"/>
      <w:r w:rsidRPr="00F34ACA">
        <w:rPr>
          <w:rFonts w:ascii="Times New Roman" w:eastAsia="Times New Roman" w:hAnsi="Times New Roman" w:cs="Times New Roman"/>
          <w:sz w:val="24"/>
          <w:szCs w:val="24"/>
          <w:lang w:eastAsia="el-GR"/>
        </w:rPr>
        <w:t xml:space="preserve"> κύκλου σπουδών ορίζεται σε 12% επί του αριθμού των εισακτέων στο Τμήμα με Πανελλαδικές εξετάσεις. Ο, δε, αριθμός των εισακτέων στο Τμήμα Μουσικών Σπουδών του Πανεπιστημίου Αθηνών μέσω Πανελλαδικών εξετάσεων για το Πανεπιστημιακό έτος 2021-2022 ανέρχεται σε εξήντα -τρεις (63)</w:t>
      </w:r>
      <w:r w:rsidRPr="00F34ACA">
        <w:rPr>
          <w:rFonts w:ascii="Times New Roman" w:eastAsia="Times New Roman" w:hAnsi="Times New Roman" w:cs="Times New Roman"/>
          <w:b/>
          <w:sz w:val="24"/>
          <w:szCs w:val="24"/>
          <w:lang w:eastAsia="el-GR"/>
        </w:rPr>
        <w:t xml:space="preserve"> </w:t>
      </w:r>
      <w:r w:rsidRPr="00F34ACA">
        <w:rPr>
          <w:rFonts w:ascii="Times New Roman" w:eastAsia="Times New Roman" w:hAnsi="Times New Roman" w:cs="Times New Roman"/>
          <w:sz w:val="24"/>
          <w:szCs w:val="24"/>
          <w:lang w:eastAsia="el-GR"/>
        </w:rPr>
        <w:t xml:space="preserve">φοιτητές, όπως ορίζει το ΦΕΚ 685-Β'/15-3-2016. Άρα, το Τ.Μ.Σ. έχει τη δυνατότητα να υποδεχθεί  επτά (7) φοιτητές από κατατακτήριες εξετάσεις. </w:t>
      </w:r>
      <w:proofErr w:type="spellStart"/>
      <w:r w:rsidRPr="00F34ACA">
        <w:rPr>
          <w:rFonts w:ascii="Times New Roman" w:eastAsia="Times New Roman" w:hAnsi="Times New Roman" w:cs="Times New Roman"/>
          <w:sz w:val="24"/>
          <w:szCs w:val="24"/>
          <w:lang w:eastAsia="el-GR"/>
        </w:rPr>
        <w:t>Σημειωτέον</w:t>
      </w:r>
      <w:proofErr w:type="spellEnd"/>
      <w:r w:rsidRPr="00F34ACA">
        <w:rPr>
          <w:rFonts w:ascii="Times New Roman" w:eastAsia="Times New Roman" w:hAnsi="Times New Roman" w:cs="Times New Roman"/>
          <w:sz w:val="24"/>
          <w:szCs w:val="24"/>
          <w:lang w:eastAsia="el-GR"/>
        </w:rPr>
        <w:t xml:space="preserve">, ότι ως άριστα θεωρείται το 20 και ότι κάθε υποψήφιος, προκειμένου να διεκδικήσει την ένταξή του στο Τ.Μ.Σ., θα πρέπει να συγκεντρώσει σε κάθε ένα από τα τρία μαθήματα βαθμό ίσο ή μεγαλύτερο </w:t>
      </w:r>
      <w:r w:rsidRPr="00F34ACA">
        <w:rPr>
          <w:rFonts w:ascii="Times New Roman" w:eastAsia="Times New Roman" w:hAnsi="Times New Roman" w:cs="Times New Roman"/>
          <w:sz w:val="24"/>
          <w:szCs w:val="24"/>
          <w:lang w:eastAsia="el-GR"/>
        </w:rPr>
        <w:lastRenderedPageBreak/>
        <w:t>του 10 ─ σε αντίθετη περίπτωση δεν σημειώνεται καν τελική βαθμολογία στη στήλη “Μέσος Όρος” του σχετικού Πίνακα.</w:t>
      </w:r>
    </w:p>
    <w:p w:rsidR="00F34ACA" w:rsidRPr="00F34ACA" w:rsidRDefault="00F34ACA" w:rsidP="00F34ACA">
      <w:pPr>
        <w:spacing w:after="0" w:line="360" w:lineRule="auto"/>
        <w:ind w:firstLine="720"/>
        <w:jc w:val="both"/>
        <w:rPr>
          <w:rFonts w:ascii="Times New Roman" w:eastAsia="Times New Roman" w:hAnsi="Times New Roman" w:cs="Times New Roman"/>
          <w:sz w:val="24"/>
          <w:szCs w:val="24"/>
          <w:lang w:eastAsia="el-GR"/>
        </w:rPr>
      </w:pPr>
      <w:r w:rsidRPr="00F34ACA">
        <w:rPr>
          <w:rFonts w:ascii="Times New Roman" w:eastAsia="Times New Roman" w:hAnsi="Times New Roman" w:cs="Times New Roman"/>
          <w:sz w:val="24"/>
          <w:szCs w:val="24"/>
          <w:lang w:eastAsia="el-GR"/>
        </w:rPr>
        <w:t xml:space="preserve">Στις συγκεκριμένες εξετάσεις συμμετείχαν 14 υποψήφιοι: 9 από Α.Ε.Ι., 4 από Τ.Ε.Ι και 1 από Σχολή </w:t>
      </w:r>
      <w:proofErr w:type="spellStart"/>
      <w:r w:rsidRPr="00F34ACA">
        <w:rPr>
          <w:rFonts w:ascii="Times New Roman" w:eastAsia="Times New Roman" w:hAnsi="Times New Roman" w:cs="Times New Roman"/>
          <w:sz w:val="24"/>
          <w:szCs w:val="24"/>
          <w:lang w:eastAsia="el-GR"/>
        </w:rPr>
        <w:t>υπερδιετούς</w:t>
      </w:r>
      <w:proofErr w:type="spellEnd"/>
      <w:r w:rsidRPr="00F34ACA">
        <w:rPr>
          <w:rFonts w:ascii="Times New Roman" w:eastAsia="Times New Roman" w:hAnsi="Times New Roman" w:cs="Times New Roman"/>
          <w:sz w:val="24"/>
          <w:szCs w:val="24"/>
          <w:lang w:eastAsia="el-GR"/>
        </w:rPr>
        <w:t xml:space="preserve"> φοίτησης. Δυστυχώς, όπως φαίνεται και στον τελικό Πίνακα, </w:t>
      </w:r>
      <w:proofErr w:type="spellStart"/>
      <w:r w:rsidRPr="00F34ACA">
        <w:rPr>
          <w:rFonts w:ascii="Times New Roman" w:eastAsia="Times New Roman" w:hAnsi="Times New Roman" w:cs="Times New Roman"/>
          <w:sz w:val="24"/>
          <w:szCs w:val="24"/>
          <w:lang w:eastAsia="el-GR"/>
        </w:rPr>
        <w:t>προβιβάσιμο</w:t>
      </w:r>
      <w:proofErr w:type="spellEnd"/>
      <w:r w:rsidRPr="00F34ACA">
        <w:rPr>
          <w:rFonts w:ascii="Times New Roman" w:eastAsia="Times New Roman" w:hAnsi="Times New Roman" w:cs="Times New Roman"/>
          <w:sz w:val="24"/>
          <w:szCs w:val="24"/>
          <w:lang w:eastAsia="el-GR"/>
        </w:rPr>
        <w:t xml:space="preserve"> βαθμό στις εξετάσεις δεν συγκέντρωσε κανένας από τους υποψήφιους.</w:t>
      </w:r>
    </w:p>
    <w:p w:rsidR="009E4C1E" w:rsidRDefault="009E4C1E" w:rsidP="009E4C1E">
      <w:pPr>
        <w:spacing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Τέλος, σ</w:t>
      </w:r>
      <w:r w:rsidRPr="009E4C1E">
        <w:rPr>
          <w:rFonts w:ascii="Times New Roman" w:eastAsia="Times New Roman" w:hAnsi="Times New Roman" w:cs="Times New Roman"/>
          <w:sz w:val="24"/>
          <w:szCs w:val="24"/>
          <w:lang w:eastAsia="el-GR"/>
        </w:rPr>
        <w:t xml:space="preserve">ύμφωνα με το ν.4485/2017 αρ.74 παρ.5α «Θέσεις εισακτέων που έμειναν κενές κατά τις κατατακτήριες εξετάσεις 2016-2017, καλύπτονται μέχρις εξαντλήσεως του προβλεπόμενου ποσοστού εισακτέων, με την κατάταξη, ως επιτυχόντων, υποψηφίων κατά φθίνουσα σειρά συνολικής βαθμολογίας εφόσον αυτή είναι τουλάχιστον τριάντα (30) μονάδες και ανεξαρτήτως της επίδοσής τους σε επιμέρους μαθήματα. Οι ανωτέρω </w:t>
      </w:r>
      <w:proofErr w:type="spellStart"/>
      <w:r w:rsidRPr="009E4C1E">
        <w:rPr>
          <w:rFonts w:ascii="Times New Roman" w:eastAsia="Times New Roman" w:hAnsi="Times New Roman" w:cs="Times New Roman"/>
          <w:sz w:val="24"/>
          <w:szCs w:val="24"/>
          <w:lang w:eastAsia="el-GR"/>
        </w:rPr>
        <w:t>κατατασσόμενοι</w:t>
      </w:r>
      <w:proofErr w:type="spellEnd"/>
      <w:r w:rsidRPr="009E4C1E">
        <w:rPr>
          <w:rFonts w:ascii="Times New Roman" w:eastAsia="Times New Roman" w:hAnsi="Times New Roman" w:cs="Times New Roman"/>
          <w:sz w:val="24"/>
          <w:szCs w:val="24"/>
          <w:lang w:eastAsia="el-GR"/>
        </w:rPr>
        <w:t xml:space="preserve"> ως επιτυχόντες εισακτέοι εγγράφονται, για το ακαδημαϊκό έτος 2017-2018, στο α΄ εξάμηνο σπουδών του οικείου Τμήματος. Η διάταξη του πρώτου εδαφίου ισχύει και για τις κατατακτήριες εξετάσεις των επόμενων ακαδημαϊκών ετών έως την έκδοση του Εσωτερικο</w:t>
      </w:r>
      <w:r w:rsidR="005A6C5A">
        <w:rPr>
          <w:rFonts w:ascii="Times New Roman" w:eastAsia="Times New Roman" w:hAnsi="Times New Roman" w:cs="Times New Roman"/>
          <w:sz w:val="24"/>
          <w:szCs w:val="24"/>
          <w:lang w:eastAsia="el-GR"/>
        </w:rPr>
        <w:t>ύ Κανονισμού του οικείου Α.Ε.Ι.</w:t>
      </w:r>
      <w:r w:rsidRPr="009E4C1E">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p>
    <w:p w:rsidR="009E4C1E" w:rsidRPr="009E4C1E" w:rsidRDefault="009E4C1E" w:rsidP="009E4C1E">
      <w:pPr>
        <w:spacing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Αναφέρονται τα ονόματα των </w:t>
      </w:r>
      <w:r w:rsidRPr="009E4C1E">
        <w:rPr>
          <w:rFonts w:ascii="Times New Roman" w:eastAsia="Times New Roman" w:hAnsi="Times New Roman" w:cs="Times New Roman"/>
          <w:sz w:val="24"/>
          <w:szCs w:val="24"/>
          <w:lang w:eastAsia="el-GR"/>
        </w:rPr>
        <w:t>υποψηφίων κατά φθίνουσα σειρά συνολικής βαθμολογίας τουλάχιστον τριάντα (30) μονάδ</w:t>
      </w:r>
      <w:r w:rsidR="005A6C5A">
        <w:rPr>
          <w:rFonts w:ascii="Times New Roman" w:eastAsia="Times New Roman" w:hAnsi="Times New Roman" w:cs="Times New Roman"/>
          <w:sz w:val="24"/>
          <w:szCs w:val="24"/>
          <w:lang w:eastAsia="el-GR"/>
        </w:rPr>
        <w:t>ων</w:t>
      </w:r>
      <w:r w:rsidRPr="009E4C1E">
        <w:rPr>
          <w:rFonts w:ascii="Times New Roman" w:eastAsia="Times New Roman" w:hAnsi="Times New Roman" w:cs="Times New Roman"/>
          <w:sz w:val="24"/>
          <w:szCs w:val="24"/>
          <w:lang w:eastAsia="el-GR"/>
        </w:rPr>
        <w:t xml:space="preserve"> και ανεξαρτήτως της επίδοσής τους σε επιμέρους μαθήματα</w:t>
      </w:r>
      <w:r>
        <w:rPr>
          <w:rFonts w:ascii="Times New Roman" w:eastAsia="Times New Roman" w:hAnsi="Times New Roman" w:cs="Times New Roman"/>
          <w:sz w:val="24"/>
          <w:szCs w:val="24"/>
          <w:lang w:eastAsia="el-GR"/>
        </w:rPr>
        <w:t xml:space="preserve">, οι οποίοι κατατάσσονται </w:t>
      </w:r>
      <w:r w:rsidRPr="009E4C1E">
        <w:rPr>
          <w:rFonts w:ascii="Times New Roman" w:eastAsia="Times New Roman" w:hAnsi="Times New Roman" w:cs="Times New Roman"/>
          <w:sz w:val="24"/>
          <w:szCs w:val="24"/>
          <w:lang w:eastAsia="el-GR"/>
        </w:rPr>
        <w:t xml:space="preserve">ως επιτυχόντες εισακτέοι </w:t>
      </w:r>
      <w:r w:rsidR="005A6C5A">
        <w:rPr>
          <w:rFonts w:ascii="Times New Roman" w:eastAsia="Times New Roman" w:hAnsi="Times New Roman" w:cs="Times New Roman"/>
          <w:sz w:val="24"/>
          <w:szCs w:val="24"/>
          <w:lang w:eastAsia="el-GR"/>
        </w:rPr>
        <w:t xml:space="preserve"> και </w:t>
      </w:r>
      <w:r w:rsidRPr="009E4C1E">
        <w:rPr>
          <w:rFonts w:ascii="Times New Roman" w:eastAsia="Times New Roman" w:hAnsi="Times New Roman" w:cs="Times New Roman"/>
          <w:sz w:val="24"/>
          <w:szCs w:val="24"/>
          <w:lang w:eastAsia="el-GR"/>
        </w:rPr>
        <w:t>εγγράφονται, για το ακαδημαϊκό έτος 20</w:t>
      </w:r>
      <w:r w:rsidR="005A6C5A">
        <w:rPr>
          <w:rFonts w:ascii="Times New Roman" w:eastAsia="Times New Roman" w:hAnsi="Times New Roman" w:cs="Times New Roman"/>
          <w:sz w:val="24"/>
          <w:szCs w:val="24"/>
          <w:lang w:eastAsia="el-GR"/>
        </w:rPr>
        <w:t>2</w:t>
      </w:r>
      <w:r w:rsidR="00B14C28">
        <w:rPr>
          <w:rFonts w:ascii="Times New Roman" w:eastAsia="Times New Roman" w:hAnsi="Times New Roman" w:cs="Times New Roman"/>
          <w:sz w:val="24"/>
          <w:szCs w:val="24"/>
          <w:lang w:eastAsia="el-GR"/>
        </w:rPr>
        <w:t>2</w:t>
      </w:r>
      <w:r w:rsidRPr="009E4C1E">
        <w:rPr>
          <w:rFonts w:ascii="Times New Roman" w:eastAsia="Times New Roman" w:hAnsi="Times New Roman" w:cs="Times New Roman"/>
          <w:sz w:val="24"/>
          <w:szCs w:val="24"/>
          <w:lang w:eastAsia="el-GR"/>
        </w:rPr>
        <w:t>-20</w:t>
      </w:r>
      <w:r w:rsidR="005A6C5A">
        <w:rPr>
          <w:rFonts w:ascii="Times New Roman" w:eastAsia="Times New Roman" w:hAnsi="Times New Roman" w:cs="Times New Roman"/>
          <w:sz w:val="24"/>
          <w:szCs w:val="24"/>
          <w:lang w:eastAsia="el-GR"/>
        </w:rPr>
        <w:t>2</w:t>
      </w:r>
      <w:r w:rsidR="00B14C28">
        <w:rPr>
          <w:rFonts w:ascii="Times New Roman" w:eastAsia="Times New Roman" w:hAnsi="Times New Roman" w:cs="Times New Roman"/>
          <w:sz w:val="24"/>
          <w:szCs w:val="24"/>
          <w:lang w:eastAsia="el-GR"/>
        </w:rPr>
        <w:t>3</w:t>
      </w:r>
      <w:r w:rsidRPr="009E4C1E">
        <w:rPr>
          <w:rFonts w:ascii="Times New Roman" w:eastAsia="Times New Roman" w:hAnsi="Times New Roman" w:cs="Times New Roman"/>
          <w:sz w:val="24"/>
          <w:szCs w:val="24"/>
          <w:lang w:eastAsia="el-GR"/>
        </w:rPr>
        <w:t>, στο α΄ εξάμηνο σπουδών του οικείου Τμήματος.</w:t>
      </w:r>
    </w:p>
    <w:p w:rsidR="009E4C1E" w:rsidRPr="009E4C1E" w:rsidRDefault="009E4C1E" w:rsidP="004507C2">
      <w:pPr>
        <w:spacing w:after="0" w:line="360" w:lineRule="auto"/>
        <w:ind w:firstLine="720"/>
        <w:jc w:val="both"/>
        <w:rPr>
          <w:rFonts w:ascii="Times New Roman" w:eastAsia="Times New Roman" w:hAnsi="Times New Roman" w:cs="Times New Roman"/>
          <w:b/>
          <w:sz w:val="28"/>
          <w:szCs w:val="28"/>
          <w:u w:val="single"/>
          <w:lang w:val="en-US" w:eastAsia="el-GR"/>
        </w:rPr>
      </w:pPr>
      <w:r w:rsidRPr="009E4C1E">
        <w:rPr>
          <w:rFonts w:ascii="Times New Roman" w:eastAsia="Times New Roman" w:hAnsi="Times New Roman" w:cs="Times New Roman"/>
          <w:sz w:val="24"/>
          <w:szCs w:val="24"/>
          <w:lang w:eastAsia="el-GR"/>
        </w:rPr>
        <w:t xml:space="preserve"> </w:t>
      </w:r>
      <w:r w:rsidRPr="009E4C1E">
        <w:rPr>
          <w:rFonts w:ascii="Times New Roman" w:eastAsia="Times New Roman" w:hAnsi="Times New Roman" w:cs="Times New Roman"/>
          <w:b/>
          <w:sz w:val="28"/>
          <w:szCs w:val="28"/>
          <w:u w:val="single"/>
          <w:lang w:eastAsia="el-GR"/>
        </w:rPr>
        <w:t>ΚΑΤΑΤΑΚΤΗΡΙΕΣ ΕΞΕΤΑΣΕΙΣ –  Μαΐου 20</w:t>
      </w:r>
      <w:r w:rsidRPr="009E4C1E">
        <w:rPr>
          <w:rFonts w:ascii="Times New Roman" w:eastAsia="Times New Roman" w:hAnsi="Times New Roman" w:cs="Times New Roman"/>
          <w:b/>
          <w:sz w:val="28"/>
          <w:szCs w:val="28"/>
          <w:u w:val="single"/>
          <w:lang w:val="en-US" w:eastAsia="el-GR"/>
        </w:rPr>
        <w:t>21</w:t>
      </w:r>
    </w:p>
    <w:tbl>
      <w:tblPr>
        <w:tblW w:w="8588" w:type="dxa"/>
        <w:tblInd w:w="-318" w:type="dxa"/>
        <w:tblBorders>
          <w:insideH w:val="single" w:sz="4" w:space="0" w:color="auto"/>
        </w:tblBorders>
        <w:tblLayout w:type="fixed"/>
        <w:tblLook w:val="00A0" w:firstRow="1" w:lastRow="0" w:firstColumn="1" w:lastColumn="0" w:noHBand="0" w:noVBand="0"/>
      </w:tblPr>
      <w:tblGrid>
        <w:gridCol w:w="3486"/>
        <w:gridCol w:w="1260"/>
        <w:gridCol w:w="1450"/>
        <w:gridCol w:w="1312"/>
        <w:gridCol w:w="1080"/>
      </w:tblGrid>
      <w:tr w:rsidR="009E4C1E" w:rsidRPr="009E4C1E" w:rsidTr="006B7BDD">
        <w:tc>
          <w:tcPr>
            <w:tcW w:w="3486" w:type="dxa"/>
          </w:tcPr>
          <w:p w:rsidR="009E4C1E" w:rsidRPr="009E4C1E" w:rsidRDefault="009E4C1E" w:rsidP="009E4C1E">
            <w:pPr>
              <w:spacing w:after="0" w:line="360" w:lineRule="auto"/>
              <w:jc w:val="center"/>
              <w:rPr>
                <w:rFonts w:ascii="Times New Roman" w:eastAsia="Times New Roman" w:hAnsi="Times New Roman" w:cs="Times New Roman"/>
                <w:b/>
                <w:sz w:val="24"/>
                <w:szCs w:val="24"/>
                <w:lang w:eastAsia="el-GR"/>
              </w:rPr>
            </w:pPr>
          </w:p>
        </w:tc>
        <w:tc>
          <w:tcPr>
            <w:tcW w:w="1260" w:type="dxa"/>
          </w:tcPr>
          <w:p w:rsidR="009E4C1E" w:rsidRPr="009E4C1E" w:rsidRDefault="009E4C1E" w:rsidP="009E4C1E">
            <w:pPr>
              <w:spacing w:after="0" w:line="360" w:lineRule="auto"/>
              <w:jc w:val="center"/>
              <w:rPr>
                <w:rFonts w:ascii="Times New Roman" w:eastAsia="Times New Roman" w:hAnsi="Times New Roman" w:cs="Times New Roman"/>
                <w:b/>
                <w:sz w:val="24"/>
                <w:szCs w:val="24"/>
                <w:lang w:eastAsia="el-GR"/>
              </w:rPr>
            </w:pPr>
          </w:p>
        </w:tc>
        <w:tc>
          <w:tcPr>
            <w:tcW w:w="1450" w:type="dxa"/>
          </w:tcPr>
          <w:p w:rsidR="009E4C1E" w:rsidRPr="009E4C1E" w:rsidRDefault="009E4C1E" w:rsidP="009E4C1E">
            <w:pPr>
              <w:spacing w:after="0" w:line="360" w:lineRule="auto"/>
              <w:jc w:val="center"/>
              <w:rPr>
                <w:rFonts w:ascii="Times New Roman" w:eastAsia="Times New Roman" w:hAnsi="Times New Roman" w:cs="Times New Roman"/>
                <w:b/>
                <w:sz w:val="24"/>
                <w:szCs w:val="24"/>
                <w:lang w:eastAsia="el-GR"/>
              </w:rPr>
            </w:pPr>
          </w:p>
        </w:tc>
        <w:tc>
          <w:tcPr>
            <w:tcW w:w="1312" w:type="dxa"/>
          </w:tcPr>
          <w:p w:rsidR="009E4C1E" w:rsidRPr="009E4C1E" w:rsidRDefault="009E4C1E" w:rsidP="009E4C1E">
            <w:pPr>
              <w:spacing w:after="0" w:line="360" w:lineRule="auto"/>
              <w:jc w:val="center"/>
              <w:rPr>
                <w:rFonts w:ascii="Times New Roman" w:eastAsia="Times New Roman" w:hAnsi="Times New Roman" w:cs="Times New Roman"/>
                <w:b/>
                <w:sz w:val="24"/>
                <w:szCs w:val="24"/>
                <w:lang w:eastAsia="el-GR"/>
              </w:rPr>
            </w:pPr>
          </w:p>
        </w:tc>
        <w:tc>
          <w:tcPr>
            <w:tcW w:w="1080" w:type="dxa"/>
          </w:tcPr>
          <w:p w:rsidR="009E4C1E" w:rsidRPr="009E4C1E" w:rsidRDefault="009E4C1E" w:rsidP="009E4C1E">
            <w:pPr>
              <w:spacing w:after="0" w:line="360" w:lineRule="auto"/>
              <w:jc w:val="center"/>
              <w:rPr>
                <w:rFonts w:ascii="Times New Roman" w:eastAsia="Times New Roman" w:hAnsi="Times New Roman" w:cs="Times New Roman"/>
                <w:b/>
                <w:sz w:val="24"/>
                <w:szCs w:val="24"/>
                <w:lang w:eastAsia="el-GR"/>
              </w:rPr>
            </w:pPr>
          </w:p>
        </w:tc>
      </w:tr>
    </w:tbl>
    <w:p w:rsidR="00B14C28" w:rsidRPr="00B14C28" w:rsidRDefault="00B14C28" w:rsidP="004507C2">
      <w:pPr>
        <w:pStyle w:val="a3"/>
        <w:numPr>
          <w:ilvl w:val="0"/>
          <w:numId w:val="1"/>
        </w:numPr>
        <w:rPr>
          <w:rFonts w:ascii="Katsoulidis" w:eastAsia="Times New Roman" w:hAnsi="Katsoulidis" w:cs="Times New Roman"/>
          <w:w w:val="96"/>
          <w:sz w:val="24"/>
          <w:szCs w:val="24"/>
          <w:lang w:eastAsia="el-GR"/>
        </w:rPr>
      </w:pPr>
      <w:r w:rsidRPr="00B14C28">
        <w:rPr>
          <w:rFonts w:ascii="Calibri" w:eastAsia="Calibri" w:hAnsi="Calibri" w:cs="Times New Roman"/>
          <w:sz w:val="24"/>
          <w:szCs w:val="24"/>
        </w:rPr>
        <w:t>ΘΕΟΤΟΚΑΣ ΣΤΕΦΑΝΟΣ</w:t>
      </w:r>
      <w:r w:rsidRPr="00B14C28">
        <w:rPr>
          <w:rFonts w:ascii="Times New Roman" w:eastAsia="Times New Roman" w:hAnsi="Times New Roman" w:cs="Times New Roman"/>
          <w:lang w:eastAsia="el-GR"/>
        </w:rPr>
        <w:t xml:space="preserve"> </w:t>
      </w:r>
    </w:p>
    <w:p w:rsidR="00B14C28" w:rsidRPr="00B14C28" w:rsidRDefault="00B14C28" w:rsidP="004507C2">
      <w:pPr>
        <w:pStyle w:val="a3"/>
        <w:numPr>
          <w:ilvl w:val="0"/>
          <w:numId w:val="1"/>
        </w:numPr>
        <w:rPr>
          <w:rFonts w:ascii="Katsoulidis" w:eastAsia="Times New Roman" w:hAnsi="Katsoulidis" w:cs="Times New Roman"/>
          <w:w w:val="96"/>
          <w:sz w:val="24"/>
          <w:szCs w:val="24"/>
          <w:lang w:eastAsia="el-GR"/>
        </w:rPr>
      </w:pPr>
      <w:r w:rsidRPr="00B14C28">
        <w:rPr>
          <w:rFonts w:ascii="Times New Roman" w:eastAsia="Times New Roman" w:hAnsi="Times New Roman" w:cs="Times New Roman"/>
          <w:lang w:eastAsia="el-GR"/>
        </w:rPr>
        <w:t xml:space="preserve">ΚΟΥΡΜΠΕΛΗ ΓΕΩΡΓΙΑ </w:t>
      </w:r>
    </w:p>
    <w:p w:rsidR="00B14C28" w:rsidRPr="00B14C28" w:rsidRDefault="00B14C28" w:rsidP="004507C2">
      <w:pPr>
        <w:pStyle w:val="a3"/>
        <w:numPr>
          <w:ilvl w:val="0"/>
          <w:numId w:val="1"/>
        </w:numPr>
        <w:rPr>
          <w:rFonts w:ascii="Katsoulidis" w:eastAsia="Times New Roman" w:hAnsi="Katsoulidis" w:cs="Times New Roman"/>
          <w:w w:val="96"/>
          <w:sz w:val="24"/>
          <w:szCs w:val="24"/>
          <w:lang w:eastAsia="el-GR"/>
        </w:rPr>
      </w:pPr>
      <w:r w:rsidRPr="00B14C28">
        <w:rPr>
          <w:rFonts w:ascii="Calibri" w:eastAsia="Calibri" w:hAnsi="Calibri" w:cs="Times New Roman"/>
          <w:sz w:val="24"/>
          <w:szCs w:val="24"/>
        </w:rPr>
        <w:t>ΑΘΑΝΑΣΟΠΟΥΛΟΣ ΚΥΡΙΑΚΟΣ</w:t>
      </w:r>
      <w:r w:rsidRPr="00B14C28">
        <w:rPr>
          <w:rFonts w:ascii="Times New Roman" w:eastAsia="Times New Roman" w:hAnsi="Times New Roman" w:cs="Times New Roman"/>
          <w:lang w:eastAsia="el-GR"/>
        </w:rPr>
        <w:t xml:space="preserve"> </w:t>
      </w:r>
    </w:p>
    <w:p w:rsidR="00B14C28" w:rsidRPr="00B14C28" w:rsidRDefault="00B14C28" w:rsidP="004507C2">
      <w:pPr>
        <w:pStyle w:val="a3"/>
        <w:numPr>
          <w:ilvl w:val="0"/>
          <w:numId w:val="1"/>
        </w:numPr>
        <w:rPr>
          <w:rFonts w:ascii="Katsoulidis" w:eastAsia="Times New Roman" w:hAnsi="Katsoulidis" w:cs="Times New Roman"/>
          <w:w w:val="96"/>
          <w:sz w:val="24"/>
          <w:szCs w:val="24"/>
          <w:lang w:eastAsia="el-GR"/>
        </w:rPr>
      </w:pPr>
      <w:r w:rsidRPr="00B14C28">
        <w:rPr>
          <w:rFonts w:ascii="Times New Roman" w:eastAsia="Times New Roman" w:hAnsi="Times New Roman" w:cs="Times New Roman"/>
          <w:lang w:eastAsia="el-GR"/>
        </w:rPr>
        <w:t xml:space="preserve">ΣΑΡΛΗΣ ΙΩΑΝΝΗΣ </w:t>
      </w:r>
    </w:p>
    <w:p w:rsidR="001B5EF8" w:rsidRDefault="00402410" w:rsidP="001B5EF8">
      <w:pPr>
        <w:rPr>
          <w:rFonts w:ascii="Katsoulidis" w:eastAsia="Times New Roman" w:hAnsi="Katsoulidis" w:cs="Times New Roman"/>
          <w:w w:val="96"/>
          <w:sz w:val="24"/>
          <w:szCs w:val="24"/>
          <w:lang w:eastAsia="el-GR"/>
        </w:rPr>
      </w:pPr>
      <w:r>
        <w:rPr>
          <w:rFonts w:ascii="Katsoulidis" w:eastAsia="Times New Roman" w:hAnsi="Katsoulidis" w:cs="Times New Roman"/>
          <w:w w:val="96"/>
          <w:sz w:val="24"/>
          <w:szCs w:val="24"/>
          <w:lang w:eastAsia="el-GR"/>
        </w:rPr>
        <w:t>………………..</w:t>
      </w:r>
    </w:p>
    <w:p w:rsidR="001B5EF8" w:rsidRDefault="001B5EF8" w:rsidP="001B5EF8">
      <w:pPr>
        <w:rPr>
          <w:rFonts w:ascii="Katsoulidis" w:eastAsia="Times New Roman" w:hAnsi="Katsoulidis" w:cs="Times New Roman"/>
          <w:w w:val="96"/>
          <w:sz w:val="24"/>
          <w:szCs w:val="24"/>
          <w:lang w:eastAsia="el-GR"/>
        </w:rPr>
      </w:pPr>
    </w:p>
    <w:p w:rsidR="001B5EF8" w:rsidRPr="001B5EF8" w:rsidRDefault="001B5EF8" w:rsidP="001B5EF8">
      <w:pPr>
        <w:spacing w:after="0" w:line="360" w:lineRule="auto"/>
        <w:rPr>
          <w:rFonts w:ascii="Times New Roman" w:eastAsia="Times New Roman" w:hAnsi="Times New Roman" w:cs="Times New Roman"/>
          <w:b/>
          <w:sz w:val="24"/>
          <w:szCs w:val="24"/>
          <w:u w:val="single"/>
          <w:lang w:eastAsia="el-GR"/>
        </w:rPr>
      </w:pPr>
      <w:r w:rsidRPr="001B5EF8">
        <w:rPr>
          <w:rFonts w:ascii="Times New Roman" w:eastAsia="Times New Roman" w:hAnsi="Times New Roman" w:cs="Times New Roman"/>
          <w:b/>
          <w:sz w:val="24"/>
          <w:szCs w:val="24"/>
          <w:u w:val="single"/>
          <w:lang w:eastAsia="el-GR"/>
        </w:rPr>
        <w:t>Η Επιτροπή Κατατάξεων</w:t>
      </w:r>
      <w:r>
        <w:rPr>
          <w:rFonts w:ascii="Times New Roman" w:eastAsia="Times New Roman" w:hAnsi="Times New Roman" w:cs="Times New Roman"/>
          <w:b/>
          <w:sz w:val="24"/>
          <w:szCs w:val="24"/>
          <w:u w:val="single"/>
          <w:lang w:eastAsia="el-GR"/>
        </w:rPr>
        <w:t>*</w:t>
      </w:r>
    </w:p>
    <w:p w:rsidR="001B5EF8" w:rsidRPr="001B5EF8" w:rsidRDefault="001B5EF8" w:rsidP="001B5EF8">
      <w:pPr>
        <w:spacing w:after="0" w:line="360" w:lineRule="auto"/>
        <w:rPr>
          <w:rFonts w:ascii="Times New Roman" w:eastAsia="Times New Roman" w:hAnsi="Times New Roman" w:cs="Times New Roman"/>
          <w:sz w:val="24"/>
          <w:szCs w:val="24"/>
          <w:lang w:eastAsia="el-GR"/>
        </w:rPr>
      </w:pPr>
      <w:r w:rsidRPr="001B5EF8">
        <w:rPr>
          <w:rFonts w:ascii="Times New Roman" w:eastAsia="Times New Roman" w:hAnsi="Times New Roman" w:cs="Times New Roman"/>
          <w:sz w:val="24"/>
          <w:szCs w:val="24"/>
          <w:lang w:eastAsia="el-GR"/>
        </w:rPr>
        <w:t>Αναστασία Γεωργάκη (Καθηγήτρια, Πρόεδρος του Τ.Μ.Σ.),</w:t>
      </w:r>
    </w:p>
    <w:p w:rsidR="001B5EF8" w:rsidRPr="001B5EF8" w:rsidRDefault="001B5EF8" w:rsidP="001B5EF8">
      <w:pPr>
        <w:spacing w:after="0" w:line="360" w:lineRule="auto"/>
        <w:rPr>
          <w:rFonts w:ascii="Times New Roman" w:eastAsia="Times New Roman" w:hAnsi="Times New Roman" w:cs="Times New Roman"/>
          <w:sz w:val="24"/>
          <w:szCs w:val="24"/>
          <w:lang w:eastAsia="el-GR"/>
        </w:rPr>
      </w:pPr>
    </w:p>
    <w:p w:rsidR="001B5EF8" w:rsidRPr="001B5EF8" w:rsidRDefault="001B5EF8" w:rsidP="001B5EF8">
      <w:pPr>
        <w:spacing w:after="0" w:line="360" w:lineRule="auto"/>
        <w:rPr>
          <w:rFonts w:ascii="Times New Roman" w:eastAsia="Times New Roman" w:hAnsi="Times New Roman" w:cs="Times New Roman"/>
          <w:sz w:val="24"/>
          <w:szCs w:val="24"/>
          <w:lang w:eastAsia="el-GR"/>
        </w:rPr>
      </w:pPr>
    </w:p>
    <w:p w:rsidR="001B5EF8" w:rsidRPr="001B5EF8" w:rsidRDefault="001B5EF8" w:rsidP="001B5EF8">
      <w:pPr>
        <w:spacing w:after="0" w:line="360" w:lineRule="auto"/>
        <w:rPr>
          <w:rFonts w:ascii="Times New Roman" w:eastAsia="Times New Roman" w:hAnsi="Times New Roman" w:cs="Times New Roman"/>
          <w:sz w:val="24"/>
          <w:szCs w:val="24"/>
          <w:lang w:eastAsia="el-GR"/>
        </w:rPr>
      </w:pPr>
      <w:r w:rsidRPr="001B5EF8">
        <w:rPr>
          <w:rFonts w:ascii="Times New Roman" w:eastAsia="Times New Roman" w:hAnsi="Times New Roman" w:cs="Times New Roman"/>
          <w:sz w:val="24"/>
          <w:szCs w:val="24"/>
          <w:lang w:eastAsia="el-GR"/>
        </w:rPr>
        <w:lastRenderedPageBreak/>
        <w:t xml:space="preserve">Νικόλαος </w:t>
      </w:r>
      <w:proofErr w:type="spellStart"/>
      <w:r w:rsidRPr="001B5EF8">
        <w:rPr>
          <w:rFonts w:ascii="Times New Roman" w:eastAsia="Times New Roman" w:hAnsi="Times New Roman" w:cs="Times New Roman"/>
          <w:sz w:val="24"/>
          <w:szCs w:val="24"/>
          <w:lang w:eastAsia="el-GR"/>
        </w:rPr>
        <w:t>Μαλιάρας</w:t>
      </w:r>
      <w:proofErr w:type="spellEnd"/>
      <w:r w:rsidRPr="001B5EF8">
        <w:rPr>
          <w:rFonts w:ascii="Times New Roman" w:eastAsia="Times New Roman" w:hAnsi="Times New Roman" w:cs="Times New Roman"/>
          <w:sz w:val="24"/>
          <w:szCs w:val="24"/>
          <w:lang w:eastAsia="el-GR"/>
        </w:rPr>
        <w:t xml:space="preserve"> (Καθηγητής), </w:t>
      </w:r>
    </w:p>
    <w:p w:rsidR="001B5EF8" w:rsidRPr="001B5EF8" w:rsidRDefault="001B5EF8" w:rsidP="001B5EF8">
      <w:pPr>
        <w:spacing w:after="0" w:line="360" w:lineRule="auto"/>
        <w:rPr>
          <w:rFonts w:ascii="Times New Roman" w:eastAsia="Times New Roman" w:hAnsi="Times New Roman" w:cs="Times New Roman"/>
          <w:sz w:val="24"/>
          <w:szCs w:val="24"/>
          <w:lang w:eastAsia="el-GR"/>
        </w:rPr>
      </w:pPr>
    </w:p>
    <w:p w:rsidR="001B5EF8" w:rsidRPr="001B5EF8" w:rsidRDefault="001B5EF8" w:rsidP="001B5EF8">
      <w:pPr>
        <w:spacing w:after="0" w:line="360" w:lineRule="auto"/>
        <w:rPr>
          <w:rFonts w:ascii="Times New Roman" w:eastAsia="Times New Roman" w:hAnsi="Times New Roman" w:cs="Times New Roman"/>
          <w:sz w:val="24"/>
          <w:szCs w:val="24"/>
          <w:lang w:eastAsia="el-GR"/>
        </w:rPr>
      </w:pPr>
    </w:p>
    <w:p w:rsidR="001B5EF8" w:rsidRPr="001B5EF8" w:rsidRDefault="001B5EF8" w:rsidP="001B5EF8">
      <w:pPr>
        <w:spacing w:after="0" w:line="360" w:lineRule="auto"/>
        <w:rPr>
          <w:rFonts w:ascii="Times New Roman" w:eastAsia="Times New Roman" w:hAnsi="Times New Roman" w:cs="Times New Roman"/>
          <w:sz w:val="24"/>
          <w:szCs w:val="24"/>
          <w:lang w:eastAsia="el-GR"/>
        </w:rPr>
      </w:pPr>
      <w:r w:rsidRPr="001B5EF8">
        <w:rPr>
          <w:rFonts w:ascii="Times New Roman" w:eastAsia="Times New Roman" w:hAnsi="Times New Roman" w:cs="Times New Roman"/>
          <w:sz w:val="24"/>
          <w:szCs w:val="24"/>
          <w:lang w:eastAsia="el-GR"/>
        </w:rPr>
        <w:t xml:space="preserve">Πύρρος </w:t>
      </w:r>
      <w:proofErr w:type="spellStart"/>
      <w:r w:rsidRPr="001B5EF8">
        <w:rPr>
          <w:rFonts w:ascii="Times New Roman" w:eastAsia="Times New Roman" w:hAnsi="Times New Roman" w:cs="Times New Roman"/>
          <w:sz w:val="24"/>
          <w:szCs w:val="24"/>
          <w:lang w:eastAsia="el-GR"/>
        </w:rPr>
        <w:t>Μπαμίχας</w:t>
      </w:r>
      <w:proofErr w:type="spellEnd"/>
      <w:r w:rsidRPr="001B5EF8">
        <w:rPr>
          <w:rFonts w:ascii="Times New Roman" w:eastAsia="Times New Roman" w:hAnsi="Times New Roman" w:cs="Times New Roman"/>
          <w:sz w:val="24"/>
          <w:szCs w:val="24"/>
          <w:lang w:eastAsia="el-GR"/>
        </w:rPr>
        <w:t xml:space="preserve"> (Αναπληρωτής Καθηγητής), </w:t>
      </w:r>
    </w:p>
    <w:p w:rsidR="001B5EF8" w:rsidRPr="001B5EF8" w:rsidRDefault="001B5EF8" w:rsidP="001B5EF8">
      <w:pPr>
        <w:spacing w:after="0" w:line="360" w:lineRule="auto"/>
        <w:rPr>
          <w:rFonts w:ascii="Times New Roman" w:eastAsia="Times New Roman" w:hAnsi="Times New Roman" w:cs="Times New Roman"/>
          <w:sz w:val="24"/>
          <w:szCs w:val="24"/>
          <w:lang w:eastAsia="el-GR"/>
        </w:rPr>
      </w:pPr>
    </w:p>
    <w:p w:rsidR="001B5EF8" w:rsidRPr="001B5EF8" w:rsidRDefault="001B5EF8" w:rsidP="001B5EF8">
      <w:pPr>
        <w:spacing w:after="0" w:line="360" w:lineRule="auto"/>
        <w:rPr>
          <w:rFonts w:ascii="Times New Roman" w:eastAsia="Times New Roman" w:hAnsi="Times New Roman" w:cs="Times New Roman"/>
          <w:sz w:val="24"/>
          <w:szCs w:val="24"/>
          <w:lang w:eastAsia="el-GR"/>
        </w:rPr>
      </w:pPr>
    </w:p>
    <w:p w:rsidR="001B5EF8" w:rsidRPr="001B5EF8" w:rsidRDefault="001B5EF8" w:rsidP="001B5EF8">
      <w:pPr>
        <w:spacing w:after="0" w:line="360" w:lineRule="auto"/>
        <w:rPr>
          <w:rFonts w:ascii="Times New Roman" w:eastAsia="Times New Roman" w:hAnsi="Times New Roman" w:cs="Times New Roman"/>
          <w:sz w:val="24"/>
          <w:szCs w:val="24"/>
          <w:lang w:eastAsia="el-GR"/>
        </w:rPr>
      </w:pPr>
      <w:r w:rsidRPr="001B5EF8">
        <w:rPr>
          <w:rFonts w:ascii="Times New Roman" w:eastAsia="Times New Roman" w:hAnsi="Times New Roman" w:cs="Times New Roman"/>
          <w:sz w:val="24"/>
          <w:szCs w:val="24"/>
          <w:lang w:eastAsia="el-GR"/>
        </w:rPr>
        <w:t xml:space="preserve">Παύλος Σεργίου (Αναπληρωτής Καθηγητής), </w:t>
      </w:r>
    </w:p>
    <w:p w:rsidR="001B5EF8" w:rsidRPr="001B5EF8" w:rsidRDefault="001B5EF8" w:rsidP="001B5EF8">
      <w:pPr>
        <w:spacing w:after="0" w:line="360" w:lineRule="auto"/>
        <w:rPr>
          <w:rFonts w:ascii="Times New Roman" w:eastAsia="Times New Roman" w:hAnsi="Times New Roman" w:cs="Times New Roman"/>
          <w:sz w:val="24"/>
          <w:szCs w:val="24"/>
          <w:lang w:eastAsia="el-GR"/>
        </w:rPr>
      </w:pPr>
    </w:p>
    <w:p w:rsidR="001B5EF8" w:rsidRPr="001B5EF8" w:rsidRDefault="001B5EF8" w:rsidP="001B5EF8">
      <w:pPr>
        <w:spacing w:after="0" w:line="360" w:lineRule="auto"/>
        <w:rPr>
          <w:rFonts w:ascii="Times New Roman" w:eastAsia="Times New Roman" w:hAnsi="Times New Roman" w:cs="Times New Roman"/>
          <w:sz w:val="24"/>
          <w:szCs w:val="24"/>
          <w:lang w:eastAsia="el-GR"/>
        </w:rPr>
      </w:pPr>
    </w:p>
    <w:p w:rsidR="001B5EF8" w:rsidRPr="001B5EF8" w:rsidRDefault="001B5EF8" w:rsidP="001B5EF8">
      <w:pPr>
        <w:spacing w:after="0" w:line="360" w:lineRule="auto"/>
        <w:rPr>
          <w:rFonts w:ascii="Times New Roman" w:eastAsia="Times New Roman" w:hAnsi="Times New Roman" w:cs="Times New Roman"/>
          <w:sz w:val="24"/>
          <w:szCs w:val="24"/>
          <w:lang w:eastAsia="el-GR"/>
        </w:rPr>
      </w:pPr>
      <w:r w:rsidRPr="001B5EF8">
        <w:rPr>
          <w:rFonts w:ascii="Times New Roman" w:eastAsia="Times New Roman" w:hAnsi="Times New Roman" w:cs="Times New Roman"/>
          <w:sz w:val="24"/>
          <w:szCs w:val="24"/>
          <w:lang w:eastAsia="el-GR"/>
        </w:rPr>
        <w:t xml:space="preserve">Ιωάννης </w:t>
      </w:r>
      <w:proofErr w:type="spellStart"/>
      <w:r w:rsidRPr="001B5EF8">
        <w:rPr>
          <w:rFonts w:ascii="Times New Roman" w:eastAsia="Times New Roman" w:hAnsi="Times New Roman" w:cs="Times New Roman"/>
          <w:sz w:val="24"/>
          <w:szCs w:val="24"/>
          <w:lang w:eastAsia="el-GR"/>
        </w:rPr>
        <w:t>Φούλιας</w:t>
      </w:r>
      <w:proofErr w:type="spellEnd"/>
      <w:r w:rsidRPr="001B5EF8">
        <w:rPr>
          <w:rFonts w:ascii="Times New Roman" w:eastAsia="Times New Roman" w:hAnsi="Times New Roman" w:cs="Times New Roman"/>
          <w:sz w:val="24"/>
          <w:szCs w:val="24"/>
          <w:lang w:eastAsia="el-GR"/>
        </w:rPr>
        <w:t xml:space="preserve"> (</w:t>
      </w:r>
      <w:proofErr w:type="spellStart"/>
      <w:r w:rsidRPr="001B5EF8">
        <w:rPr>
          <w:rFonts w:ascii="Times New Roman" w:eastAsia="Times New Roman" w:hAnsi="Times New Roman" w:cs="Times New Roman"/>
          <w:sz w:val="24"/>
          <w:szCs w:val="24"/>
          <w:lang w:eastAsia="el-GR"/>
        </w:rPr>
        <w:t>Αναπληρωτης</w:t>
      </w:r>
      <w:proofErr w:type="spellEnd"/>
      <w:r w:rsidRPr="001B5EF8">
        <w:rPr>
          <w:rFonts w:ascii="Times New Roman" w:eastAsia="Times New Roman" w:hAnsi="Times New Roman" w:cs="Times New Roman"/>
          <w:sz w:val="24"/>
          <w:szCs w:val="24"/>
          <w:lang w:eastAsia="el-GR"/>
        </w:rPr>
        <w:t xml:space="preserve"> Καθηγητής),</w:t>
      </w:r>
    </w:p>
    <w:p w:rsidR="001B5EF8" w:rsidRPr="001B5EF8" w:rsidRDefault="001B5EF8" w:rsidP="001B5EF8">
      <w:pPr>
        <w:spacing w:after="0" w:line="360" w:lineRule="auto"/>
        <w:rPr>
          <w:rFonts w:ascii="Times New Roman" w:eastAsia="Times New Roman" w:hAnsi="Times New Roman" w:cs="Times New Roman"/>
          <w:sz w:val="24"/>
          <w:szCs w:val="24"/>
          <w:lang w:eastAsia="el-GR"/>
        </w:rPr>
      </w:pPr>
    </w:p>
    <w:p w:rsidR="001B5EF8" w:rsidRPr="001B5EF8" w:rsidRDefault="001B5EF8" w:rsidP="001B5EF8">
      <w:pPr>
        <w:spacing w:after="0" w:line="360" w:lineRule="auto"/>
        <w:rPr>
          <w:rFonts w:ascii="Times New Roman" w:eastAsia="Times New Roman" w:hAnsi="Times New Roman" w:cs="Times New Roman"/>
          <w:sz w:val="24"/>
          <w:szCs w:val="24"/>
          <w:lang w:eastAsia="el-GR"/>
        </w:rPr>
      </w:pPr>
    </w:p>
    <w:p w:rsidR="001B5EF8" w:rsidRPr="001B5EF8" w:rsidRDefault="001B5EF8" w:rsidP="001B5EF8">
      <w:pPr>
        <w:spacing w:after="0" w:line="360" w:lineRule="auto"/>
        <w:rPr>
          <w:rFonts w:ascii="Times New Roman" w:eastAsia="Times New Roman" w:hAnsi="Times New Roman" w:cs="Times New Roman"/>
          <w:sz w:val="24"/>
          <w:szCs w:val="24"/>
          <w:lang w:eastAsia="el-GR"/>
        </w:rPr>
      </w:pPr>
      <w:r w:rsidRPr="001B5EF8">
        <w:rPr>
          <w:rFonts w:ascii="Times New Roman" w:eastAsia="Times New Roman" w:hAnsi="Times New Roman" w:cs="Times New Roman"/>
          <w:sz w:val="24"/>
          <w:szCs w:val="24"/>
          <w:lang w:eastAsia="el-GR"/>
        </w:rPr>
        <w:t xml:space="preserve">Ιάκωβος </w:t>
      </w:r>
      <w:proofErr w:type="spellStart"/>
      <w:r w:rsidRPr="001B5EF8">
        <w:rPr>
          <w:rFonts w:ascii="Times New Roman" w:eastAsia="Times New Roman" w:hAnsi="Times New Roman" w:cs="Times New Roman"/>
          <w:sz w:val="24"/>
          <w:szCs w:val="24"/>
          <w:lang w:eastAsia="el-GR"/>
        </w:rPr>
        <w:t>Σταϊνχάουερ</w:t>
      </w:r>
      <w:proofErr w:type="spellEnd"/>
      <w:r w:rsidRPr="001B5EF8">
        <w:rPr>
          <w:rFonts w:ascii="Times New Roman" w:eastAsia="Times New Roman" w:hAnsi="Times New Roman" w:cs="Times New Roman"/>
          <w:sz w:val="24"/>
          <w:szCs w:val="24"/>
          <w:lang w:eastAsia="el-GR"/>
        </w:rPr>
        <w:t xml:space="preserve"> (Επίκουρος Καθηγητής) και</w:t>
      </w:r>
    </w:p>
    <w:p w:rsidR="001B5EF8" w:rsidRPr="001B5EF8" w:rsidRDefault="001B5EF8" w:rsidP="001B5EF8">
      <w:pPr>
        <w:spacing w:after="0" w:line="360" w:lineRule="auto"/>
        <w:rPr>
          <w:rFonts w:ascii="Times New Roman" w:eastAsia="Times New Roman" w:hAnsi="Times New Roman" w:cs="Times New Roman"/>
          <w:sz w:val="24"/>
          <w:szCs w:val="24"/>
          <w:lang w:eastAsia="el-GR"/>
        </w:rPr>
      </w:pPr>
    </w:p>
    <w:p w:rsidR="001B5EF8" w:rsidRPr="001B5EF8" w:rsidRDefault="001B5EF8" w:rsidP="001B5EF8">
      <w:pPr>
        <w:spacing w:after="0" w:line="360" w:lineRule="auto"/>
        <w:rPr>
          <w:rFonts w:ascii="Times New Roman" w:eastAsia="Times New Roman" w:hAnsi="Times New Roman" w:cs="Times New Roman"/>
          <w:sz w:val="24"/>
          <w:szCs w:val="24"/>
          <w:lang w:eastAsia="el-GR"/>
        </w:rPr>
      </w:pPr>
    </w:p>
    <w:p w:rsidR="001B5EF8" w:rsidRPr="001B5EF8" w:rsidRDefault="001B5EF8" w:rsidP="001B5EF8">
      <w:pPr>
        <w:spacing w:after="0" w:line="360" w:lineRule="auto"/>
        <w:rPr>
          <w:rFonts w:ascii="Times New Roman" w:eastAsia="Times New Roman" w:hAnsi="Times New Roman" w:cs="Times New Roman"/>
          <w:sz w:val="24"/>
          <w:szCs w:val="24"/>
          <w:lang w:eastAsia="el-GR"/>
        </w:rPr>
      </w:pPr>
      <w:r w:rsidRPr="001B5EF8">
        <w:rPr>
          <w:rFonts w:ascii="Times New Roman" w:eastAsia="Times New Roman" w:hAnsi="Times New Roman" w:cs="Times New Roman"/>
          <w:sz w:val="24"/>
          <w:szCs w:val="24"/>
          <w:lang w:eastAsia="el-GR"/>
        </w:rPr>
        <w:t xml:space="preserve">Κατερίνα </w:t>
      </w:r>
      <w:proofErr w:type="spellStart"/>
      <w:r w:rsidRPr="001B5EF8">
        <w:rPr>
          <w:rFonts w:ascii="Times New Roman" w:eastAsia="Times New Roman" w:hAnsi="Times New Roman" w:cs="Times New Roman"/>
          <w:sz w:val="24"/>
          <w:szCs w:val="24"/>
          <w:lang w:eastAsia="el-GR"/>
        </w:rPr>
        <w:t>Λεβίδου</w:t>
      </w:r>
      <w:proofErr w:type="spellEnd"/>
      <w:r w:rsidRPr="001B5EF8">
        <w:rPr>
          <w:rFonts w:ascii="Times New Roman" w:eastAsia="Times New Roman" w:hAnsi="Times New Roman" w:cs="Times New Roman"/>
          <w:sz w:val="24"/>
          <w:szCs w:val="24"/>
          <w:lang w:eastAsia="el-GR"/>
        </w:rPr>
        <w:t xml:space="preserve"> (Επίκουρη Καθηγήτρια)</w:t>
      </w:r>
    </w:p>
    <w:p w:rsidR="001B5EF8" w:rsidRPr="001B5EF8" w:rsidRDefault="001B5EF8" w:rsidP="001B5EF8">
      <w:pPr>
        <w:spacing w:after="0" w:line="360" w:lineRule="auto"/>
        <w:ind w:firstLine="720"/>
        <w:rPr>
          <w:rFonts w:ascii="Times New Roman" w:eastAsia="Times New Roman" w:hAnsi="Times New Roman" w:cs="Times New Roman"/>
          <w:sz w:val="24"/>
          <w:szCs w:val="24"/>
          <w:lang w:eastAsia="el-GR"/>
        </w:rPr>
      </w:pPr>
    </w:p>
    <w:p w:rsidR="001B5EF8" w:rsidRPr="001B5EF8" w:rsidRDefault="001B5EF8" w:rsidP="001B5EF8">
      <w:pPr>
        <w:spacing w:after="0" w:line="480" w:lineRule="auto"/>
        <w:ind w:left="5040" w:firstLine="720"/>
        <w:rPr>
          <w:rFonts w:ascii="Times New Roman" w:eastAsia="Times New Roman" w:hAnsi="Times New Roman" w:cs="Times New Roman"/>
          <w:b/>
          <w:sz w:val="24"/>
          <w:szCs w:val="24"/>
          <w:lang w:eastAsia="el-GR"/>
        </w:rPr>
      </w:pPr>
    </w:p>
    <w:p w:rsidR="001B5EF8" w:rsidRPr="001B5EF8" w:rsidRDefault="001B5EF8" w:rsidP="001B5EF8">
      <w:pPr>
        <w:spacing w:after="0" w:line="480" w:lineRule="auto"/>
        <w:ind w:left="5040" w:firstLine="720"/>
        <w:rPr>
          <w:rFonts w:ascii="Times New Roman" w:eastAsia="Times New Roman" w:hAnsi="Times New Roman" w:cs="Times New Roman"/>
          <w:b/>
          <w:sz w:val="24"/>
          <w:szCs w:val="24"/>
          <w:lang w:eastAsia="el-GR"/>
        </w:rPr>
      </w:pPr>
      <w:r w:rsidRPr="001B5EF8">
        <w:rPr>
          <w:rFonts w:ascii="Times New Roman" w:eastAsia="Times New Roman" w:hAnsi="Times New Roman" w:cs="Times New Roman"/>
          <w:b/>
          <w:sz w:val="24"/>
          <w:szCs w:val="24"/>
          <w:lang w:eastAsia="el-GR"/>
        </w:rPr>
        <w:t xml:space="preserve">Αθήνα, </w:t>
      </w:r>
      <w:r w:rsidR="00B14C28">
        <w:rPr>
          <w:rFonts w:ascii="Times New Roman" w:eastAsia="Times New Roman" w:hAnsi="Times New Roman" w:cs="Times New Roman"/>
          <w:b/>
          <w:sz w:val="24"/>
          <w:szCs w:val="24"/>
          <w:lang w:eastAsia="el-GR"/>
        </w:rPr>
        <w:t>12</w:t>
      </w:r>
      <w:r w:rsidRPr="001B5EF8">
        <w:rPr>
          <w:rFonts w:ascii="Times New Roman" w:eastAsia="Times New Roman" w:hAnsi="Times New Roman" w:cs="Times New Roman"/>
          <w:b/>
          <w:sz w:val="24"/>
          <w:szCs w:val="24"/>
          <w:lang w:eastAsia="el-GR"/>
        </w:rPr>
        <w:t>/</w:t>
      </w:r>
      <w:r w:rsidR="00B14C28">
        <w:rPr>
          <w:rFonts w:ascii="Times New Roman" w:eastAsia="Times New Roman" w:hAnsi="Times New Roman" w:cs="Times New Roman"/>
          <w:b/>
          <w:sz w:val="24"/>
          <w:szCs w:val="24"/>
          <w:lang w:eastAsia="el-GR"/>
        </w:rPr>
        <w:t>1</w:t>
      </w:r>
      <w:r w:rsidRPr="001B5EF8">
        <w:rPr>
          <w:rFonts w:ascii="Times New Roman" w:eastAsia="Times New Roman" w:hAnsi="Times New Roman" w:cs="Times New Roman"/>
          <w:b/>
          <w:sz w:val="24"/>
          <w:szCs w:val="24"/>
          <w:lang w:eastAsia="el-GR"/>
        </w:rPr>
        <w:t>/202</w:t>
      </w:r>
      <w:r w:rsidR="00B14C28">
        <w:rPr>
          <w:rFonts w:ascii="Times New Roman" w:eastAsia="Times New Roman" w:hAnsi="Times New Roman" w:cs="Times New Roman"/>
          <w:b/>
          <w:sz w:val="24"/>
          <w:szCs w:val="24"/>
          <w:lang w:eastAsia="el-GR"/>
        </w:rPr>
        <w:t>2</w:t>
      </w:r>
    </w:p>
    <w:p w:rsidR="001B5EF8" w:rsidRDefault="001B5EF8" w:rsidP="001B5EF8">
      <w:pPr>
        <w:rPr>
          <w:rFonts w:ascii="Katsoulidis" w:eastAsia="Times New Roman" w:hAnsi="Katsoulidis" w:cs="Times New Roman"/>
          <w:w w:val="96"/>
          <w:sz w:val="24"/>
          <w:szCs w:val="24"/>
          <w:lang w:eastAsia="el-GR"/>
        </w:rPr>
      </w:pPr>
    </w:p>
    <w:p w:rsidR="001B5EF8" w:rsidRDefault="001B5EF8" w:rsidP="001B5EF8">
      <w:pPr>
        <w:rPr>
          <w:rFonts w:ascii="Katsoulidis" w:eastAsia="Times New Roman" w:hAnsi="Katsoulidis" w:cs="Times New Roman"/>
          <w:w w:val="96"/>
          <w:sz w:val="24"/>
          <w:szCs w:val="24"/>
          <w:lang w:eastAsia="el-GR"/>
        </w:rPr>
      </w:pPr>
    </w:p>
    <w:p w:rsidR="001B5EF8" w:rsidRDefault="001B5EF8" w:rsidP="001B5EF8">
      <w:pPr>
        <w:rPr>
          <w:rFonts w:ascii="Katsoulidis" w:eastAsia="Times New Roman" w:hAnsi="Katsoulidis" w:cs="Times New Roman"/>
          <w:w w:val="96"/>
          <w:sz w:val="24"/>
          <w:szCs w:val="24"/>
          <w:lang w:eastAsia="el-GR"/>
        </w:rPr>
      </w:pPr>
    </w:p>
    <w:p w:rsidR="001B5EF8" w:rsidRDefault="001B5EF8" w:rsidP="001B5EF8">
      <w:pPr>
        <w:rPr>
          <w:rFonts w:ascii="Katsoulidis" w:eastAsia="Times New Roman" w:hAnsi="Katsoulidis" w:cs="Times New Roman"/>
          <w:w w:val="96"/>
          <w:sz w:val="24"/>
          <w:szCs w:val="24"/>
          <w:lang w:eastAsia="el-GR"/>
        </w:rPr>
      </w:pPr>
    </w:p>
    <w:p w:rsidR="001B5EF8" w:rsidRDefault="001B5EF8" w:rsidP="001B5EF8">
      <w:pPr>
        <w:rPr>
          <w:rFonts w:ascii="Katsoulidis" w:eastAsia="Times New Roman" w:hAnsi="Katsoulidis" w:cs="Times New Roman"/>
          <w:w w:val="96"/>
          <w:sz w:val="24"/>
          <w:szCs w:val="24"/>
          <w:lang w:eastAsia="el-GR"/>
        </w:rPr>
      </w:pPr>
    </w:p>
    <w:p w:rsidR="001B5EF8" w:rsidRDefault="001B5EF8" w:rsidP="001B5EF8">
      <w:pPr>
        <w:rPr>
          <w:rFonts w:ascii="Katsoulidis" w:eastAsia="Times New Roman" w:hAnsi="Katsoulidis" w:cs="Times New Roman"/>
          <w:w w:val="96"/>
          <w:sz w:val="24"/>
          <w:szCs w:val="24"/>
          <w:lang w:eastAsia="el-GR"/>
        </w:rPr>
      </w:pPr>
    </w:p>
    <w:p w:rsidR="001B5EF8" w:rsidRDefault="001B5EF8" w:rsidP="001B5EF8">
      <w:pPr>
        <w:rPr>
          <w:rFonts w:ascii="Katsoulidis" w:eastAsia="Times New Roman" w:hAnsi="Katsoulidis" w:cs="Times New Roman"/>
          <w:w w:val="96"/>
          <w:sz w:val="24"/>
          <w:szCs w:val="24"/>
          <w:lang w:eastAsia="el-GR"/>
        </w:rPr>
      </w:pPr>
    </w:p>
    <w:p w:rsidR="001B5EF8" w:rsidRDefault="001B5EF8" w:rsidP="001B5EF8">
      <w:pPr>
        <w:rPr>
          <w:rFonts w:ascii="Katsoulidis" w:eastAsia="Times New Roman" w:hAnsi="Katsoulidis" w:cs="Times New Roman"/>
          <w:w w:val="96"/>
          <w:sz w:val="24"/>
          <w:szCs w:val="24"/>
          <w:lang w:eastAsia="el-GR"/>
        </w:rPr>
      </w:pPr>
    </w:p>
    <w:p w:rsidR="001B5EF8" w:rsidRDefault="001B5EF8" w:rsidP="001B5EF8">
      <w:pPr>
        <w:rPr>
          <w:rFonts w:ascii="Katsoulidis" w:eastAsia="Times New Roman" w:hAnsi="Katsoulidis" w:cs="Times New Roman"/>
          <w:w w:val="96"/>
          <w:sz w:val="24"/>
          <w:szCs w:val="24"/>
          <w:lang w:eastAsia="el-GR"/>
        </w:rPr>
      </w:pPr>
    </w:p>
    <w:p w:rsidR="001B5EF8" w:rsidRPr="001B5EF8" w:rsidRDefault="001B5EF8" w:rsidP="001B5EF8">
      <w:pPr>
        <w:rPr>
          <w:rFonts w:ascii="Katsoulidis" w:eastAsia="Times New Roman" w:hAnsi="Katsoulidis" w:cs="Times New Roman"/>
          <w:w w:val="96"/>
          <w:sz w:val="16"/>
          <w:szCs w:val="16"/>
          <w:lang w:eastAsia="el-GR"/>
        </w:rPr>
      </w:pPr>
    </w:p>
    <w:p w:rsidR="001B5EF8" w:rsidRPr="001B5EF8" w:rsidRDefault="001B5EF8" w:rsidP="001B5EF8">
      <w:pPr>
        <w:rPr>
          <w:rFonts w:ascii="Katsoulidis" w:eastAsia="Times New Roman" w:hAnsi="Katsoulidis" w:cs="Times New Roman"/>
          <w:w w:val="96"/>
          <w:sz w:val="16"/>
          <w:szCs w:val="16"/>
          <w:lang w:eastAsia="el-GR"/>
        </w:rPr>
      </w:pPr>
      <w:r w:rsidRPr="001B5EF8">
        <w:rPr>
          <w:rFonts w:ascii="Katsoulidis" w:eastAsia="Times New Roman" w:hAnsi="Katsoulidis" w:cs="Times New Roman"/>
          <w:w w:val="96"/>
          <w:sz w:val="16"/>
          <w:szCs w:val="16"/>
          <w:lang w:eastAsia="el-GR"/>
        </w:rPr>
        <w:t>*Οι υπογραφές έχουν τεθεί στο πρωτότυπο και παραμένουν στο αρχείο του Τμήματος.</w:t>
      </w:r>
    </w:p>
    <w:sectPr w:rsidR="001B5EF8" w:rsidRPr="001B5E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Katsoulidis">
    <w:altName w:val="Arial"/>
    <w:panose1 w:val="00000000000000000000"/>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40428"/>
    <w:multiLevelType w:val="hybridMultilevel"/>
    <w:tmpl w:val="F8F69338"/>
    <w:lvl w:ilvl="0" w:tplc="04080001">
      <w:start w:val="13"/>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B05123B"/>
    <w:multiLevelType w:val="hybridMultilevel"/>
    <w:tmpl w:val="C7CC860A"/>
    <w:lvl w:ilvl="0" w:tplc="04080001">
      <w:start w:val="8"/>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101DE9"/>
    <w:multiLevelType w:val="hybridMultilevel"/>
    <w:tmpl w:val="2474E1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E"/>
    <w:rsid w:val="001B5EF8"/>
    <w:rsid w:val="003717E2"/>
    <w:rsid w:val="00402410"/>
    <w:rsid w:val="004507C2"/>
    <w:rsid w:val="005A6C5A"/>
    <w:rsid w:val="009E4C1E"/>
    <w:rsid w:val="00B14C28"/>
    <w:rsid w:val="00BB4A84"/>
    <w:rsid w:val="00F34A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96662-AC86-41D0-8C18-10C20D17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603</Words>
  <Characters>3259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Μήνα Γιαννοπούλου</dc:creator>
  <cp:keywords/>
  <dc:description/>
  <cp:lastModifiedBy>Μήνα Γιαννοπούλου</cp:lastModifiedBy>
  <cp:revision>4</cp:revision>
  <dcterms:created xsi:type="dcterms:W3CDTF">2022-01-14T07:59:00Z</dcterms:created>
  <dcterms:modified xsi:type="dcterms:W3CDTF">2022-01-14T08:05:00Z</dcterms:modified>
</cp:coreProperties>
</file>