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74" w:rsidRDefault="00C74F74" w:rsidP="00A50024">
      <w:pPr>
        <w:spacing w:after="0" w:afterAutospacing="0"/>
        <w:jc w:val="center"/>
        <w:rPr>
          <w:b/>
          <w:sz w:val="28"/>
          <w:szCs w:val="28"/>
          <w:u w:val="single"/>
        </w:rPr>
      </w:pPr>
    </w:p>
    <w:p w:rsidR="00A50024" w:rsidRDefault="00AA1C88" w:rsidP="00A50024">
      <w:pPr>
        <w:spacing w:after="0" w:afterAutospacing="0"/>
        <w:jc w:val="center"/>
        <w:rPr>
          <w:b/>
          <w:sz w:val="28"/>
          <w:szCs w:val="28"/>
          <w:u w:val="single"/>
        </w:rPr>
      </w:pPr>
      <w:r>
        <w:rPr>
          <w:b/>
          <w:sz w:val="28"/>
          <w:szCs w:val="28"/>
          <w:u w:val="single"/>
        </w:rPr>
        <w:t>ΑΝΑΚΟΙΝΩΣΗ</w:t>
      </w:r>
      <w:r w:rsidR="004E5DFC">
        <w:rPr>
          <w:b/>
          <w:sz w:val="28"/>
          <w:szCs w:val="28"/>
          <w:u w:val="single"/>
        </w:rPr>
        <w:t xml:space="preserve"> ΚΑΤΑΤΑΚΤΗΡΙΩΝ ΕΞΕΤΑΣΕΩΝ 2020-2021</w:t>
      </w:r>
    </w:p>
    <w:p w:rsidR="00E90056" w:rsidRDefault="00E90056" w:rsidP="00A50024">
      <w:pPr>
        <w:spacing w:after="0" w:afterAutospacing="0"/>
        <w:jc w:val="center"/>
        <w:rPr>
          <w:b/>
          <w:sz w:val="28"/>
          <w:szCs w:val="28"/>
          <w:u w:val="single"/>
        </w:rPr>
      </w:pPr>
    </w:p>
    <w:p w:rsidR="004E5DFC" w:rsidRPr="004E5DFC" w:rsidRDefault="00E90056" w:rsidP="004E5DFC">
      <w:pPr>
        <w:spacing w:after="0" w:afterAutospacing="0"/>
        <w:jc w:val="both"/>
        <w:rPr>
          <w:sz w:val="28"/>
          <w:szCs w:val="28"/>
        </w:rPr>
      </w:pPr>
      <w:r w:rsidRPr="00E90056">
        <w:rPr>
          <w:sz w:val="28"/>
          <w:szCs w:val="28"/>
        </w:rPr>
        <w:t xml:space="preserve">Σύμφωνα με το πρακτικό της Επιτροπής των Κατατακτηρίων </w:t>
      </w:r>
      <w:r w:rsidR="002F1E8A">
        <w:rPr>
          <w:sz w:val="28"/>
          <w:szCs w:val="28"/>
        </w:rPr>
        <w:t>Εξετάσεων 20</w:t>
      </w:r>
      <w:r w:rsidR="004E5DFC">
        <w:rPr>
          <w:sz w:val="28"/>
          <w:szCs w:val="28"/>
        </w:rPr>
        <w:t>20-2021</w:t>
      </w:r>
      <w:r w:rsidR="002F1E8A">
        <w:rPr>
          <w:sz w:val="28"/>
          <w:szCs w:val="28"/>
        </w:rPr>
        <w:t xml:space="preserve"> του Τμήματος Μουσικών Σπουδών</w:t>
      </w:r>
      <w:r>
        <w:rPr>
          <w:sz w:val="28"/>
          <w:szCs w:val="28"/>
        </w:rPr>
        <w:t xml:space="preserve">, </w:t>
      </w:r>
      <w:proofErr w:type="spellStart"/>
      <w:r w:rsidR="004E5DFC" w:rsidRPr="004E5DFC">
        <w:rPr>
          <w:sz w:val="28"/>
          <w:szCs w:val="28"/>
        </w:rPr>
        <w:t>προβιβάσιμο</w:t>
      </w:r>
      <w:proofErr w:type="spellEnd"/>
      <w:r w:rsidR="004E5DFC" w:rsidRPr="004E5DFC">
        <w:rPr>
          <w:sz w:val="28"/>
          <w:szCs w:val="28"/>
        </w:rPr>
        <w:t xml:space="preserve"> βαθμό στις εξετάσεις δεν συγκέντρωσε κανένας από τους υποψήφιους.</w:t>
      </w:r>
    </w:p>
    <w:p w:rsidR="00E90056" w:rsidRDefault="00E90056" w:rsidP="00E90056">
      <w:pPr>
        <w:spacing w:after="0" w:afterAutospacing="0"/>
        <w:jc w:val="both"/>
        <w:rPr>
          <w:sz w:val="28"/>
          <w:szCs w:val="28"/>
        </w:rPr>
      </w:pPr>
    </w:p>
    <w:p w:rsidR="00AA1C88" w:rsidRDefault="002F1E8A" w:rsidP="00E90056">
      <w:pPr>
        <w:spacing w:after="0" w:afterAutospacing="0"/>
        <w:jc w:val="both"/>
        <w:rPr>
          <w:sz w:val="28"/>
          <w:szCs w:val="28"/>
        </w:rPr>
      </w:pPr>
      <w:r>
        <w:rPr>
          <w:sz w:val="28"/>
          <w:szCs w:val="28"/>
        </w:rPr>
        <w:t>Επιπλέον</w:t>
      </w:r>
      <w:r w:rsidR="00821656">
        <w:rPr>
          <w:sz w:val="28"/>
          <w:szCs w:val="28"/>
        </w:rPr>
        <w:t>,</w:t>
      </w:r>
      <w:r>
        <w:rPr>
          <w:sz w:val="28"/>
          <w:szCs w:val="28"/>
        </w:rPr>
        <w:t xml:space="preserve"> σ</w:t>
      </w:r>
      <w:r w:rsidR="00AA1C88">
        <w:rPr>
          <w:sz w:val="28"/>
          <w:szCs w:val="28"/>
        </w:rPr>
        <w:t>ύμφωνα με το άρθρο 74 παρ.5</w:t>
      </w:r>
      <w:r w:rsidR="00AA1C88">
        <w:rPr>
          <w:sz w:val="28"/>
          <w:szCs w:val="28"/>
          <w:vertAlign w:val="superscript"/>
        </w:rPr>
        <w:t>α</w:t>
      </w:r>
      <w:r w:rsidR="00AA1C88">
        <w:rPr>
          <w:sz w:val="28"/>
          <w:szCs w:val="28"/>
        </w:rPr>
        <w:t xml:space="preserve"> του Ν.4485 </w:t>
      </w:r>
      <w:r w:rsidR="00821656">
        <w:rPr>
          <w:sz w:val="28"/>
          <w:szCs w:val="28"/>
        </w:rPr>
        <w:t>οι κάτωθι υ</w:t>
      </w:r>
      <w:r w:rsidR="00AA1C88">
        <w:rPr>
          <w:sz w:val="28"/>
          <w:szCs w:val="28"/>
        </w:rPr>
        <w:t>ποψήφιοι, κατά φθίνουσα σειρά συνολικής βαθμολογίας, εφόσον αυτή είναι τουλάχιστον τριάντα (30) μονάδες και ανεξαρτήτως της επίδοσης τους σε επιμέρους μαθήματα, εγγράφονται ως επιτυχόντες εισακτέοι στο α’ εξάμηνο σπουδών για το ακαδημαϊκό έτο</w:t>
      </w:r>
      <w:r>
        <w:rPr>
          <w:sz w:val="28"/>
          <w:szCs w:val="28"/>
        </w:rPr>
        <w:t>ς 202</w:t>
      </w:r>
      <w:r w:rsidR="003D2344">
        <w:rPr>
          <w:sz w:val="28"/>
          <w:szCs w:val="28"/>
        </w:rPr>
        <w:t>1</w:t>
      </w:r>
      <w:r>
        <w:rPr>
          <w:sz w:val="28"/>
          <w:szCs w:val="28"/>
        </w:rPr>
        <w:t>-202</w:t>
      </w:r>
      <w:r w:rsidR="003D2344">
        <w:rPr>
          <w:sz w:val="28"/>
          <w:szCs w:val="28"/>
        </w:rPr>
        <w:t>2</w:t>
      </w:r>
      <w:bookmarkStart w:id="0" w:name="_GoBack"/>
      <w:bookmarkEnd w:id="0"/>
      <w:r w:rsidR="00C156EC">
        <w:rPr>
          <w:sz w:val="28"/>
          <w:szCs w:val="28"/>
        </w:rPr>
        <w:t>»</w:t>
      </w:r>
      <w:r w:rsidR="00AA1C88">
        <w:rPr>
          <w:sz w:val="28"/>
          <w:szCs w:val="28"/>
        </w:rPr>
        <w:t>:</w:t>
      </w:r>
    </w:p>
    <w:p w:rsidR="002F1E8A" w:rsidRDefault="002F1E8A" w:rsidP="00E90056">
      <w:pPr>
        <w:spacing w:after="0" w:afterAutospacing="0"/>
        <w:jc w:val="both"/>
        <w:rPr>
          <w:sz w:val="28"/>
          <w:szCs w:val="28"/>
        </w:rPr>
      </w:pPr>
    </w:p>
    <w:p w:rsidR="004E5DFC" w:rsidRPr="004E5DFC" w:rsidRDefault="004E5DFC" w:rsidP="004E5DFC">
      <w:pPr>
        <w:spacing w:after="0" w:afterAutospacing="0"/>
        <w:jc w:val="both"/>
        <w:rPr>
          <w:b/>
          <w:sz w:val="28"/>
          <w:szCs w:val="28"/>
          <w:u w:val="single"/>
          <w:lang w:val="en-US"/>
        </w:rPr>
      </w:pPr>
      <w:r w:rsidRPr="004E5DFC">
        <w:rPr>
          <w:b/>
          <w:sz w:val="28"/>
          <w:szCs w:val="28"/>
          <w:u w:val="single"/>
        </w:rPr>
        <w:t>ΚΑΤΑΤΑΚΤΗΡΙΕΣ ΕΞΕΤΑΣΕΙΣ –  Μαΐου 20</w:t>
      </w:r>
      <w:r w:rsidRPr="004E5DFC">
        <w:rPr>
          <w:b/>
          <w:sz w:val="28"/>
          <w:szCs w:val="28"/>
          <w:u w:val="single"/>
          <w:lang w:val="en-US"/>
        </w:rPr>
        <w:t>21</w:t>
      </w:r>
    </w:p>
    <w:tbl>
      <w:tblPr>
        <w:tblW w:w="8588" w:type="dxa"/>
        <w:tblInd w:w="-318" w:type="dxa"/>
        <w:tblBorders>
          <w:insideH w:val="single" w:sz="4" w:space="0" w:color="auto"/>
        </w:tblBorders>
        <w:tblLayout w:type="fixed"/>
        <w:tblLook w:val="00A0" w:firstRow="1" w:lastRow="0" w:firstColumn="1" w:lastColumn="0" w:noHBand="0" w:noVBand="0"/>
      </w:tblPr>
      <w:tblGrid>
        <w:gridCol w:w="3486"/>
        <w:gridCol w:w="1260"/>
        <w:gridCol w:w="1450"/>
        <w:gridCol w:w="1312"/>
        <w:gridCol w:w="1080"/>
      </w:tblGrid>
      <w:tr w:rsidR="004E5DFC" w:rsidRPr="004E5DFC" w:rsidTr="003307EC">
        <w:tc>
          <w:tcPr>
            <w:tcW w:w="3486" w:type="dxa"/>
          </w:tcPr>
          <w:p w:rsidR="004E5DFC" w:rsidRPr="004E5DFC" w:rsidRDefault="004E5DFC" w:rsidP="004E5DFC">
            <w:pPr>
              <w:spacing w:after="0" w:afterAutospacing="0"/>
              <w:jc w:val="both"/>
              <w:rPr>
                <w:b/>
                <w:sz w:val="28"/>
                <w:szCs w:val="28"/>
              </w:rPr>
            </w:pPr>
          </w:p>
        </w:tc>
        <w:tc>
          <w:tcPr>
            <w:tcW w:w="1260" w:type="dxa"/>
          </w:tcPr>
          <w:p w:rsidR="004E5DFC" w:rsidRPr="004E5DFC" w:rsidRDefault="004E5DFC" w:rsidP="004E5DFC">
            <w:pPr>
              <w:spacing w:after="0" w:afterAutospacing="0"/>
              <w:jc w:val="both"/>
              <w:rPr>
                <w:b/>
                <w:sz w:val="28"/>
                <w:szCs w:val="28"/>
              </w:rPr>
            </w:pPr>
          </w:p>
        </w:tc>
        <w:tc>
          <w:tcPr>
            <w:tcW w:w="1450" w:type="dxa"/>
          </w:tcPr>
          <w:p w:rsidR="004E5DFC" w:rsidRPr="004E5DFC" w:rsidRDefault="004E5DFC" w:rsidP="004E5DFC">
            <w:pPr>
              <w:spacing w:after="0" w:afterAutospacing="0"/>
              <w:jc w:val="both"/>
              <w:rPr>
                <w:b/>
                <w:sz w:val="28"/>
                <w:szCs w:val="28"/>
              </w:rPr>
            </w:pPr>
          </w:p>
        </w:tc>
        <w:tc>
          <w:tcPr>
            <w:tcW w:w="1312" w:type="dxa"/>
          </w:tcPr>
          <w:p w:rsidR="004E5DFC" w:rsidRPr="004E5DFC" w:rsidRDefault="004E5DFC" w:rsidP="004E5DFC">
            <w:pPr>
              <w:spacing w:after="0" w:afterAutospacing="0"/>
              <w:jc w:val="both"/>
              <w:rPr>
                <w:b/>
                <w:sz w:val="28"/>
                <w:szCs w:val="28"/>
              </w:rPr>
            </w:pPr>
          </w:p>
        </w:tc>
        <w:tc>
          <w:tcPr>
            <w:tcW w:w="1080" w:type="dxa"/>
          </w:tcPr>
          <w:p w:rsidR="004E5DFC" w:rsidRPr="004E5DFC" w:rsidRDefault="004E5DFC" w:rsidP="004E5DFC">
            <w:pPr>
              <w:spacing w:after="0" w:afterAutospacing="0"/>
              <w:jc w:val="both"/>
              <w:rPr>
                <w:b/>
                <w:sz w:val="28"/>
                <w:szCs w:val="28"/>
              </w:rPr>
            </w:pPr>
          </w:p>
        </w:tc>
      </w:tr>
    </w:tbl>
    <w:p w:rsidR="004E5DFC" w:rsidRPr="004E5DFC" w:rsidRDefault="004E5DFC" w:rsidP="004E5DFC">
      <w:pPr>
        <w:numPr>
          <w:ilvl w:val="0"/>
          <w:numId w:val="3"/>
        </w:numPr>
        <w:spacing w:after="0" w:afterAutospacing="0"/>
        <w:jc w:val="both"/>
        <w:rPr>
          <w:sz w:val="28"/>
          <w:szCs w:val="28"/>
        </w:rPr>
      </w:pPr>
      <w:r w:rsidRPr="004E5DFC">
        <w:rPr>
          <w:sz w:val="28"/>
          <w:szCs w:val="28"/>
        </w:rPr>
        <w:t>ΚΟΥΖΗΣ Δημήτριος</w:t>
      </w:r>
    </w:p>
    <w:p w:rsidR="004E5DFC" w:rsidRPr="004E5DFC" w:rsidRDefault="004E5DFC" w:rsidP="004E5DFC">
      <w:pPr>
        <w:numPr>
          <w:ilvl w:val="0"/>
          <w:numId w:val="3"/>
        </w:numPr>
        <w:spacing w:after="0" w:afterAutospacing="0"/>
        <w:jc w:val="both"/>
        <w:rPr>
          <w:sz w:val="28"/>
          <w:szCs w:val="28"/>
        </w:rPr>
      </w:pPr>
      <w:r w:rsidRPr="004E5DFC">
        <w:rPr>
          <w:sz w:val="28"/>
          <w:szCs w:val="28"/>
        </w:rPr>
        <w:t>ΓΚΑΪΦΥΛΛΙΑ Δανάη</w:t>
      </w:r>
    </w:p>
    <w:p w:rsidR="004E5DFC" w:rsidRPr="004E5DFC" w:rsidRDefault="004E5DFC" w:rsidP="004E5DFC">
      <w:pPr>
        <w:numPr>
          <w:ilvl w:val="0"/>
          <w:numId w:val="3"/>
        </w:numPr>
        <w:spacing w:after="0" w:afterAutospacing="0"/>
        <w:jc w:val="both"/>
        <w:rPr>
          <w:sz w:val="28"/>
          <w:szCs w:val="28"/>
        </w:rPr>
      </w:pPr>
      <w:r w:rsidRPr="004E5DFC">
        <w:rPr>
          <w:sz w:val="28"/>
          <w:szCs w:val="28"/>
        </w:rPr>
        <w:t>ΚΟΚΚΑΛΗ Αλεξάνδρα</w:t>
      </w:r>
    </w:p>
    <w:p w:rsidR="004E5DFC" w:rsidRPr="004E5DFC" w:rsidRDefault="004E5DFC" w:rsidP="004E5DFC">
      <w:pPr>
        <w:numPr>
          <w:ilvl w:val="0"/>
          <w:numId w:val="3"/>
        </w:numPr>
        <w:spacing w:after="0" w:afterAutospacing="0"/>
        <w:jc w:val="both"/>
        <w:rPr>
          <w:sz w:val="28"/>
          <w:szCs w:val="28"/>
        </w:rPr>
      </w:pPr>
      <w:r w:rsidRPr="004E5DFC">
        <w:rPr>
          <w:sz w:val="28"/>
          <w:szCs w:val="28"/>
        </w:rPr>
        <w:t>ΚΟΜΝΗΝΟΣ Εμμανουήλ</w:t>
      </w:r>
    </w:p>
    <w:p w:rsidR="004E5DFC" w:rsidRPr="004E5DFC" w:rsidRDefault="004E5DFC" w:rsidP="004E5DFC">
      <w:pPr>
        <w:numPr>
          <w:ilvl w:val="0"/>
          <w:numId w:val="3"/>
        </w:numPr>
        <w:spacing w:after="0" w:afterAutospacing="0"/>
        <w:jc w:val="both"/>
        <w:rPr>
          <w:sz w:val="28"/>
          <w:szCs w:val="28"/>
        </w:rPr>
      </w:pPr>
      <w:r w:rsidRPr="004E5DFC">
        <w:rPr>
          <w:sz w:val="28"/>
          <w:szCs w:val="28"/>
        </w:rPr>
        <w:t>ΠΡΟΔΡΟΜΙΔΟΥ Αικατερίνη</w:t>
      </w:r>
    </w:p>
    <w:p w:rsidR="002F1E8A" w:rsidRDefault="002F1E8A" w:rsidP="00E90056">
      <w:pPr>
        <w:spacing w:after="0" w:afterAutospacing="0"/>
        <w:jc w:val="both"/>
        <w:rPr>
          <w:sz w:val="28"/>
          <w:szCs w:val="28"/>
        </w:rPr>
      </w:pPr>
    </w:p>
    <w:p w:rsidR="002F1E8A" w:rsidRDefault="002F1E8A" w:rsidP="00E90056">
      <w:pPr>
        <w:spacing w:after="0" w:afterAutospacing="0"/>
        <w:jc w:val="both"/>
        <w:rPr>
          <w:sz w:val="28"/>
          <w:szCs w:val="28"/>
        </w:rPr>
      </w:pPr>
    </w:p>
    <w:p w:rsidR="00AA1C88" w:rsidRDefault="00A50024" w:rsidP="00A50024">
      <w:pPr>
        <w:jc w:val="center"/>
        <w:rPr>
          <w:sz w:val="28"/>
          <w:szCs w:val="28"/>
        </w:rPr>
      </w:pPr>
      <w:r>
        <w:rPr>
          <w:sz w:val="28"/>
          <w:szCs w:val="28"/>
        </w:rPr>
        <w:t>Από την Γραμματεία</w:t>
      </w:r>
      <w:r w:rsidR="002F1E8A">
        <w:rPr>
          <w:sz w:val="28"/>
          <w:szCs w:val="28"/>
        </w:rPr>
        <w:t xml:space="preserve"> του Τμήματος Μουσικών Σπουδών</w:t>
      </w:r>
    </w:p>
    <w:p w:rsidR="00A26B01" w:rsidRDefault="00A26B01"/>
    <w:sectPr w:rsidR="00A26B01" w:rsidSect="00A26B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0090C"/>
    <w:multiLevelType w:val="hybridMultilevel"/>
    <w:tmpl w:val="D6D2DF4C"/>
    <w:lvl w:ilvl="0" w:tplc="EBE4344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E784922"/>
    <w:multiLevelType w:val="hybridMultilevel"/>
    <w:tmpl w:val="05165E30"/>
    <w:lvl w:ilvl="0" w:tplc="5888C5E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101DE9"/>
    <w:multiLevelType w:val="hybridMultilevel"/>
    <w:tmpl w:val="2474E1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88"/>
    <w:rsid w:val="001700F8"/>
    <w:rsid w:val="00253EC7"/>
    <w:rsid w:val="002F1E8A"/>
    <w:rsid w:val="003D2344"/>
    <w:rsid w:val="00483C46"/>
    <w:rsid w:val="004E5DFC"/>
    <w:rsid w:val="005B3F5E"/>
    <w:rsid w:val="00600E2E"/>
    <w:rsid w:val="00821656"/>
    <w:rsid w:val="00A26B01"/>
    <w:rsid w:val="00A50024"/>
    <w:rsid w:val="00AA1C88"/>
    <w:rsid w:val="00C156EC"/>
    <w:rsid w:val="00C74F74"/>
    <w:rsid w:val="00DF3ABD"/>
    <w:rsid w:val="00E90056"/>
    <w:rsid w:val="00F8417F"/>
    <w:rsid w:val="00F927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4249"/>
  <w15:docId w15:val="{E2025725-F564-46E0-8397-E21E9E8D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00" w:afterAutospacing="1"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C8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626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Μήνα Γιαννοπούλου</cp:lastModifiedBy>
  <cp:revision>3</cp:revision>
  <cp:lastPrinted>2020-01-27T08:50:00Z</cp:lastPrinted>
  <dcterms:created xsi:type="dcterms:W3CDTF">2021-06-25T07:46:00Z</dcterms:created>
  <dcterms:modified xsi:type="dcterms:W3CDTF">2021-06-25T07:47:00Z</dcterms:modified>
</cp:coreProperties>
</file>